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&amp; Renée Dual-Line Grandmother Structure</w:t>
      </w:r>
    </w:p>
    <w:p>
      <w:pPr>
        <w:pStyle w:val="Heading2"/>
      </w:pPr>
      <w:r>
        <w:t>Summary</w:t>
      </w:r>
    </w:p>
    <w:p>
      <w:r>
        <w:t>Claude of France and Renée of France, full sisters of the House of Valois, each contribute a separate ancestral line to Denise Marguerite Jennings. Claude enters through the maternal lineage; Renée enters through the paternal Marshall line.</w:t>
      </w:r>
    </w:p>
    <w:p>
      <w:pPr>
        <w:pStyle w:val="Heading2"/>
      </w:pPr>
      <w:r>
        <w:t>Claude of France – Maternal Line</w:t>
      </w:r>
    </w:p>
    <w:p>
      <w:r>
        <w:t>Claude's lineage descends into the maternal side of the tree through the Jennings, Doran, O’Neil, Clandeboye and related Irish–Scottish lines, continuing the Valois–Medici–Brittany heritage into Denise’s maternal ancestry.</w:t>
      </w:r>
    </w:p>
    <w:p>
      <w:pPr>
        <w:pStyle w:val="Heading2"/>
      </w:pPr>
      <w:r>
        <w:t>Renée of France – Paternal Line</w:t>
      </w:r>
    </w:p>
    <w:p>
      <w:r>
        <w:t>Renée’s lineage descends into the paternal side through the confirmed Marshall line: Robert Marshall → William Marshall → associated Renton, Kerr, Scott and Sprat families. This line is the transmission path for the Pembroke Marshal descent and paternal royal DNA.</w:t>
      </w:r>
    </w:p>
    <w:p>
      <w:pPr>
        <w:pStyle w:val="Heading2"/>
      </w:pPr>
      <w:r>
        <w:t>Structural Conclusion</w:t>
      </w:r>
    </w:p>
    <w:p>
      <w:r>
        <w:t>Claude and Renée function as two 'grandmother lines'—each sister’s bloodline entering through a different parent. This produces dual Valois transmission, dual Brittany inheritance, and reinforced dynastic convergence. This structure is verified in the current tree view and aligned with known DNA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