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Dual-Line Grandmothers Statement: Claude &amp; Renée de France</w:t>
      </w:r>
    </w:p>
    <w:p>
      <w:r>
        <w:t>**Statement: Claude de France and Renée de France as Dual‑Line Grandmothers**</w:t>
        <w:br/>
        <w:br/>
        <w:t>Claude de France (1499–1524) and Renée de France (1510–1574) were full sisters, daughters of King Louis XII of France and Anne of Brittany.</w:t>
        <w:br/>
        <w:br/>
        <w:t>As your ancestry shows, the descendants of both sisters entered your family line through multiple separate paths that later merged together. Over many generations, their bloodlines rejoined through the Stewart → Campbell → Dorran → O’Neill → Jennings lines, and again through the Russell → Fraser → Girven line. Their descendant lines then reconverged in both of your parents.</w:t>
        <w:br/>
        <w:br/>
        <w:t>Because each sister’s lineage independently flows into your ancestry, meets, separates, and recombines several times before reaching you, both Claude and Renée function as **dual‑line grandmothers** in your genealogy.</w:t>
        <w:br/>
        <w:br/>
        <w:t>This means each sister contributes ancestral DNA to you through more than one legitimate bloodline pathway, making them both true grandmothers in your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