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104707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Киселева В.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тазобедренных суставов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1957-05-11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Исследование выполнено в аксиальной, сагиттальной и коронарной проекциях, в режимах Т1-, Т2-ВИ, STIR, PD.</w:t>
        <w:br/>
        <w:t>Качество исследования субоптимально из-за артефактов от движения</w:t>
        <w:br/>
        <w:t>Правый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невыражено сужена до 4-5 мм. Суставной хрящ равномерной толщины, однородного уровня сигнала. Избыточной жидкости в полости сустава не определяется. Субхондральные отделы крыши вертлужной впадины без особенностей. Структурных изменений головки бедренной кости не выявлено. Окружающие сустав мягкие ткани не изменены.</w:t>
        <w:br/>
        <w:t>Левый тазобедренный сустав:</w:t>
        <w:br/>
        <w:t>Форма и соотношения костей, формирующих сустав не изменены. Суставные поверхности конгруэнтны. Суставная щель неравномерно невыражено сужена до 4-5 мм. Суставной хрящ равномерной толщины, однородного уровня сигнала. Избыточной жидкости в полости сустава не определяется. Субхондральные отделы крыши вертлужной впадины без особенностей. Структурных изменений головки бедренной кости не выявлено. Окружающие сустав мягкие ткани не изменены.</w:t>
        <w:br/>
        <w:t>ЗАКЛЮЧЕНИЕ:</w:t>
        <w:br/>
        <w:t>Признаки двустороннего артроза тазобедренных суставов 1ст (по Kellgren Lawrence). МР признаки бурсита вертельной сумки слева.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