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104711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Погорелец А. Ю.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околоносовых пазух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1982-01-05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Т2-ВИ, Т1-ВИ, в аксиальной, коронарной и сагиттальной проекциях. C программами подавления сигнала от жировой ткани.</w:t>
        <w:br/>
        <w:br/>
        <w:t>Лобная пазуха:</w:t>
        <w:br/>
        <w:t>Развита правильно. Слизистая оболочка не утолщена. Синоназальные соустья дифференцированы, свободные.</w:t>
        <w:br/>
        <w:t>Ячейки решетчатой кости:</w:t>
        <w:br/>
        <w:t>Развита правильно. Слизистая оболочка не утолщена.</w:t>
        <w:br/>
        <w:t>Основная пазуха:</w:t>
        <w:br/>
        <w:t>Развита правильно. Слизистая оболочка не утолщена. Синоназальные соустья дифференцированы, свободные.</w:t>
        <w:br/>
        <w:t>Левая верхнечелюстная пазуха:</w:t>
        <w:br/>
        <w:t>Развита правильно. Слизистая оболочка не утолщена. Синоназальные соустья дифференцированы, свободные.</w:t>
        <w:br/>
        <w:t>Правая верхнечелюстная пазуха:</w:t>
        <w:br/>
        <w:t>Развита правильно. Слизистая оболочка не утолщена. Синоназальные соустья дифференцированы, свободные. Сохраняется утолщение слизистой оболочки правого носослезного канала с полной облитерацией его просвета, без существенной динамики.</w:t>
        <w:br/>
        <w:t>Полость носа:</w:t>
        <w:br/>
        <w:t>Слизистая оболочка носовых раковин не утолщена. Носовые ходы свободны. Строение хоан типичное. Сохраняется отклонение носовой перегородки вправо, с формированием гребня до 5 мм, без динамики.</w:t>
        <w:br/>
        <w:t>В области сканирования:</w:t>
        <w:br/>
        <w:t>Воздухоносные ячейки височной кости воздушны. Костно-деструктивных изменений в области сканирования не выявлено. Орбиты без особенностей.</w:t>
        <w:br/>
        <w:t>Воздухоносные ячейки височной кости воздушны.</w:t>
        <w:br/>
        <w:t>ЗАКЛЮЧЕНИЕ:</w:t>
        <w:br/>
        <w:t>МР картина утолщения слизистой оболочки правого носослезного канала, без существенной динамики в сравнении с предыдущим исследованием. В остальном околоносовые пазухи не изменены. Искривление носовой перегородки..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13.08.24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