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104717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Австрин А. О.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интракраниальных сосудов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1982-10-24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3D TOF 3D РСА в аксиальной проекции, толщиной среза 1 мм, с последующей реконструкцией срезов в MIP и VRT.</w:t>
        <w:br/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 xml:space="preserve"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 В проекции определяющейся на FLAIR линейной зоны повышенного сигнала (см. протокол ГМ) определяется расширенная до 2.5 мм вена. 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D&gt;S.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Асимметричны, D&gt;S.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Асимметричны, D&gt;S.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 xml:space="preserve">МР признаков патологии интракраниальных артерий не выявлено. Асимметрия венозных синусов. МР признаки могут соответствовать венозной ангиоме. 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