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104752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Романова О. Ю.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тазобедренных суставов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1985.09.26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Исследование выполнено в аксиальной, сагиттальной и коронарной проекциях, в режимах Т1-, Т2-ВИ, STIR, PD. </w:t>
      </w:r>
    </w:p>
    <w:p>
      <w:r>
        <w:rPr>
          <w:sz w:val="24"/>
        </w:rPr>
        <w:br/>
        <w:t>Правый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 сужена. Суставной хрящ равномерной толщины, однородного уровня сигнала. Избыточной жидкости в полости сустава не определяется. Субхондральные отделы крыши вертлужной впадины без особенностей. Структурных изменений головки бедренной кости не выявлено. Окружающие сустав мягкие ткани не изменены.</w:t>
        <w:br/>
        <w:t>Левый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 сужена. Суставной хрящ равномерной толщины, однородного уровня сигнала. Избыточной жидкости в полости сустава не определяется. Субхондральные отделы крыши вертлужной впадины без особенностей. Структурных изменений головки бедренной кости не выявлено. Окружающие сустав мягкие ткани не изменены.</w:t>
        <w:br/>
        <w:t>ЗАКЛЮЧЕНИЕ:</w:t>
        <w:br/>
        <w:t>МР признаков патологии тазобедренных суставов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