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104766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Федотова Е.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интракраниальных сосудов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1977.01.03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3D TOF 3D РСА в аксиальной проекции, толщиной среза 1 мм, с последующей реконструкцией срезов в MIP и VRT.</w:t>
      </w:r>
    </w:p>
    <w:p>
      <w:r>
        <w:rPr>
          <w:sz w:val="24"/>
        </w:rPr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относительно симметрично.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Задние соединительные артерии (ЗСА) не дифференцируются.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Развиты симметрично. Правый поперечный синус развит типично, участков сужения не выявлено. Левый поперечный синус развит типично, участков сужения не выявлено.</w:t>
        <w:br/>
        <w:t>Сигмовидные синусы:</w:t>
        <w:br/>
        <w:t>Развиты симметрично. Правый сигмовидный синус развит типично, участков сужения не выявлено. Левый сигмовидный синус развит типично, участков сужения не выявлено.</w:t>
        <w:br/>
        <w:t>Яремные вены:</w:t>
        <w:br/>
        <w:t>Развиты симметрично.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незамкнутого Виллизиева круга, вариант развития с отсутствующими соединительными артериями.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