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105162</w:t>
      </w:r>
    </w:p>
    <w:p>
      <w:pPr>
        <w:spacing w:before="0" w:after="0"/>
      </w:pPr>
      <w:r>
        <w:rPr>
          <w:b/>
          <w:sz w:val="24"/>
        </w:rPr>
        <w:t xml:space="preserve">ФИО пациента: </w:t>
      </w:r>
      <w:r>
        <w:rPr>
          <w:sz w:val="24"/>
        </w:rPr>
        <w:t>Иванова Е. В.</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1984.09.25</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спрямлен. Отмечается невыраженное отклонение оси шейно-грудного отдела позвоночника влево.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сочленения и дугоотростчатые суставы с признаками невыраженного артроза. Отмечается умеренное утолщение задней продольной связки на уровне С3-С6. Передняя продольная связка обычной толщины, однородного МР сигнала.</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диффузное пролабирование межпозвонкового диска по задней полуокружности до 2,3 мм, с формированием дискоостеофитного комплекса. Нет признаков стеноза позвоночного канала. Правое межпозвонковое отверстие не деформировано. Левое межпозвонковое отверстие невыражено деформировано.</w:t>
        <w:br/>
        <w:t>С4-С5:</w:t>
        <w:br/>
        <w:t>Отмечается диффузное пролабирование межпозвонкового диска по задней полуокружности до 1,94мм. Нет признаков стеноза позвоночного канала. Правое межпозвонковое отверстие не деформировано. Левое межпозвонковое отверстие невыражено деформировано за счет пролабирования межпозвонкового диска и гипертрофии суставных фасеток.</w:t>
        <w:br/>
        <w:t>С5-С6:</w:t>
        <w:br/>
        <w:t>Отмечается неравномерное пролабирование межпозвонкового диска по задней полуокружности, более выраженное в субартикулярном и фораминальном сегментах справа до 3,2 мм.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С6-С7:</w:t>
        <w:br/>
        <w:t>Отмечается диффузное пролабирование межпозвонкового диска по задней полуокружности до 1,0 мм.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С4-С5, С5-С6, С6-С7.</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