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105170</w:t>
      </w:r>
    </w:p>
    <w:p>
      <w:pPr>
        <w:spacing w:before="0" w:after="0"/>
      </w:pPr>
      <w:r>
        <w:rPr>
          <w:b/>
          <w:sz w:val="24"/>
        </w:rPr>
        <w:t xml:space="preserve">ФИО пациента: </w:t>
      </w:r>
      <w:r>
        <w:rPr>
          <w:sz w:val="24"/>
        </w:rPr>
        <w:t>Комарова Е. В.</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1968.04.12</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Шейный лордоз в положении лежа на спине сохранен. Признаков сколиотической деформации не выявлено.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умерено выраженными остеофитами.</w:t>
        <w:br/>
        <w:t>Суставы и связки:</w:t>
        <w:br/>
        <w:t>Унковертебральные сочленения и дугоотростчатые суставы с признаками умерено выраженного артроза. Отмечается умеренное утолщение задней продольной связки на уровне С4-С6. Передняя продольная связка невыражено утолщена за счет остеофитов по краям тел позвонков.</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Отмечается диффузное пролабирование межпозвонкового диска по задней полуокружности до 1,9 мм.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Отмечается неравномерное пролабирование межпозвонкового диска по задней полуокружности, более выраженное в субартикулярном и фораминальном сегментах слева до 2,9 мм. Нет признаков стеноза позвоночного канала. Правое межпозвонковое отверстие невыражено деформировано. Левое межпозвонковое отверстие умерено деформировано за счет пролабирования межпозвонкового диска и гипертрофии суставных фасеток.</w:t>
        <w:br/>
        <w:t>С6-С7:</w:t>
        <w:br/>
        <w:t>Отмечается диффузное пролабирование межпозвонкового диска по задней полуокружности до 2,2 мм. Нет признаков стеноза позвоночного канала. Правое межпозвонковое отверстие невыражено деформировано. Левое межпозвонковое отверстие умерено деформировано за счет пролабирования межпозвонкового диска и гипертрофии суставных фасеток.</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невыраженная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С3-С4, С5-С6, С6-С7. Умерено выраженный стеноз левых межпозвонковых отверстий на уровнях С5-С6, С6-С7</w:t>
        <w:br/>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