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105178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Сухоева О. М.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1977.09.16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t>Дифференцировка исследования субоптимально за счет артефактов от движения.</w:t>
        <w:br/>
        <w:t>Мозговое вещество:</w:t>
        <w:br/>
        <w:t>Качество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Слизистая оболочка верхнечелюстных пазух не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