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45645645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Иван Бездомный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1921-03-04</w:t>
      </w:r>
      <w:r>
        <w:rPr>
          <w:sz w:val="24"/>
        </w:rPr>
        <w:t xml:space="preserve"> г.р.</w:t>
      </w:r>
    </w:p>
    <w:p>
      <w:r>
        <w:rPr>
          <w:sz w:val="24"/>
        </w:rPr>
        <w:t>Описание:</w:t>
        <w:br/>
        <w:t>Выражен удовлетворительно. Выражен удовлетворительно. Сколиотическая деформация не определяется. add your sentence Жопа полная наступила.</w:t>
        <w:br/>
        <w:t>Форма и соотношение тел позвонков не изменены. Остеофиты по краям тел позвонков не определяются. Сигнал от тел позвонков однородный. Дополнительные образования не определяются.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25500" cy="65379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537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</w:t>
            </w:r>
            <w:r>
              <w:rPr>
                <w:sz w:val="24"/>
              </w:rPr>
              <w:t>27_07_24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