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TRAKFY</w:t>
      </w:r>
    </w:p>
    <w:p>
      <w:pPr>
        <w:pStyle w:val="Subtitle"/>
      </w:pPr>
      <w:r>
        <w:t>Manual de identidade de marca e migração segura do SaaS</w:t>
      </w:r>
    </w:p>
    <w:p>
      <w:r>
        <w:t>Versão 1.0 · 19 de outubro de 2026 · Substitui a identidade KAVRO, sem redesign do aplicativo</w:t>
      </w:r>
    </w:p>
    <w:p>
      <w:pPr>
        <w:pStyle w:val="Heading1"/>
      </w:pPr>
      <w:r>
        <w:t>1. Essência e posicionamento</w:t>
      </w:r>
    </w:p>
    <w:p>
      <w:pPr>
        <w:pStyle w:val="ListBullet"/>
      </w:pPr>
      <w:r>
        <w:t>Nome: TRAKFY (wordmark preferencial: trakfy).</w:t>
      </w:r>
    </w:p>
    <w:p>
      <w:pPr>
        <w:pStyle w:val="ListBullet"/>
      </w:pPr>
      <w:r>
        <w:t>Categoria: SaaS de gestão, rastreamento e análise de ofertas de tráfego pago.</w:t>
      </w:r>
    </w:p>
    <w:p>
      <w:pPr>
        <w:pStyle w:val="ListBullet"/>
      </w:pPr>
      <w:r>
        <w:t>Promessa: centralizar dados de mídia e vendas reais para apoiar decisões por oferta.</w:t>
      </w:r>
    </w:p>
    <w:p>
      <w:pPr>
        <w:pStyle w:val="ListBullet"/>
      </w:pPr>
      <w:r>
        <w:t>Slogan oficial: Rastreie. Analise. Decida.</w:t>
      </w:r>
    </w:p>
    <w:p>
      <w:pPr>
        <w:pStyle w:val="ListBullet"/>
      </w:pPr>
      <w:r>
        <w:t>Público: gestores de tráfego, infoprodutores e afiliados no Brasil e na América Latina.</w:t>
      </w:r>
    </w:p>
    <w:p>
      <w:pPr>
        <w:pStyle w:val="ListBullet"/>
      </w:pPr>
      <w:r>
        <w:t>Personalidade: técnica, objetiva, precisa, confiável, direta, sem exageros.</w:t>
      </w:r>
    </w:p>
    <w:p>
      <w:pPr>
        <w:pStyle w:val="ListBullet"/>
      </w:pPr>
      <w:r>
        <w:t>Posicionamento: plataforma de decisão sobre ofertas, não planilha nem ferramenta genérica de relatórios.</w:t>
      </w:r>
    </w:p>
    <w:p>
      <w:pPr>
        <w:pStyle w:val="Heading1"/>
      </w:pPr>
      <w:r>
        <w:t>2. Logo oficial — Monograma Original</w:t>
      </w:r>
    </w:p>
    <w:p>
      <w:pPr>
        <w:pStyle w:val="ListBullet"/>
      </w:pPr>
      <w:r>
        <w:t>Símbolo aprovado: opção 01 — Original, da prancha de 12 variações. Duas superfícies encaixadas, uma clara à esquerda e outra verde-lima à direita; topo geométrico, recorte central em degrau e base inferior suavemente curva.</w:t>
      </w:r>
    </w:p>
    <w:p>
      <w:pPr>
        <w:pStyle w:val="ListBullet"/>
      </w:pPr>
      <w:r>
        <w:t>Não utilizar o monograma TK, o símbolo K anterior ou as outras 11 variantes.</w:t>
      </w:r>
    </w:p>
    <w:p>
      <w:pPr>
        <w:pStyle w:val="ListBullet"/>
      </w:pPr>
      <w:r>
        <w:t>Wordmark: trakfy, caixa baixa, sans-serif robusta e espaçamento compacto.</w:t>
      </w:r>
    </w:p>
    <w:p>
      <w:pPr>
        <w:pStyle w:val="ListBullet"/>
      </w:pPr>
      <w:r>
        <w:t>Arquivos no kit: monograma SVG, logos horizontais para fundos claro e escuro, ícones de app e prancha de referência.</w:t>
      </w:r>
    </w:p>
    <w:p>
      <w:pPr>
        <w:pStyle w:val="ListBullet"/>
      </w:pPr>
      <w:r>
        <w:t>Os SVGs deste kit são reconstruções vetoriais aproximadas do conceito visual. Antes de publicação, comparar com a opção 01 e ajustar os contornos se necessário. Não alegar que são arquivos-mestre originais da geração.</w:t>
      </w:r>
    </w:p>
    <w:p>
      <w:pPr>
        <w:pStyle w:val="Heading1"/>
      </w:pPr>
      <w:r>
        <w:t>3. Paleta oficial — PRESERVAR SEM ALTERAÇÕES</w:t>
      </w:r>
    </w:p>
    <w:p>
      <w:pPr>
        <w:pStyle w:val="ListBullet"/>
      </w:pPr>
      <w:r>
        <w:t>Fundo principal: #0F1114.</w:t>
      </w:r>
    </w:p>
    <w:p>
      <w:pPr>
        <w:pStyle w:val="ListBullet"/>
      </w:pPr>
      <w:r>
        <w:t>Superfícies/cards: #1A1E23.</w:t>
      </w:r>
    </w:p>
    <w:p>
      <w:pPr>
        <w:pStyle w:val="ListBullet"/>
      </w:pPr>
      <w:r>
        <w:t>Bordas/divisórias: #272D33 ou #30353B.</w:t>
      </w:r>
    </w:p>
    <w:p>
      <w:pPr>
        <w:pStyle w:val="ListBullet"/>
      </w:pPr>
      <w:r>
        <w:t>Cor de marca e CTA: #C8F169.</w:t>
      </w:r>
    </w:p>
    <w:p>
      <w:pPr>
        <w:pStyle w:val="ListBullet"/>
      </w:pPr>
      <w:r>
        <w:t>Texto principal: #F5F7F8.</w:t>
      </w:r>
    </w:p>
    <w:p>
      <w:pPr>
        <w:pStyle w:val="ListBullet"/>
      </w:pPr>
      <w:r>
        <w:t>Texto secundário: #A7ADB5.</w:t>
      </w:r>
    </w:p>
    <w:p>
      <w:pPr>
        <w:pStyle w:val="ListBullet"/>
      </w:pPr>
      <w:r>
        <w:t>Lucro/positivo: #34C78A.</w:t>
      </w:r>
    </w:p>
    <w:p>
      <w:pPr>
        <w:pStyle w:val="ListBullet"/>
      </w:pPr>
      <w:r>
        <w:t>Prejuízo/negativo: #F16D75.</w:t>
      </w:r>
    </w:p>
    <w:p>
      <w:pPr>
        <w:pStyle w:val="ListBullet"/>
      </w:pPr>
      <w:r>
        <w:t>Atenção: #E8B75B.</w:t>
      </w:r>
    </w:p>
    <w:p>
      <w:pPr>
        <w:pStyle w:val="ListBullet"/>
      </w:pPr>
      <w:r>
        <w:t>O verde de marca não substitui a cor semântica de lucro. Não alterar tokens nem cores dos gráficos.</w:t>
      </w:r>
    </w:p>
    <w:p>
      <w:pPr>
        <w:pStyle w:val="Heading1"/>
      </w:pPr>
      <w:r>
        <w:t>4. Tipografia — PRESERVAR SEM ALTERAÇÕES</w:t>
      </w:r>
    </w:p>
    <w:p>
      <w:pPr>
        <w:pStyle w:val="ListBullet"/>
      </w:pPr>
      <w:r>
        <w:t>Geist Sans: títulos, menus, botões, filtros, tabelas e textos.</w:t>
      </w:r>
    </w:p>
    <w:p>
      <w:pPr>
        <w:pStyle w:val="ListBullet"/>
      </w:pPr>
      <w:r>
        <w:t>Geist Mono: valores financeiros, CPA, ROAS, datas e métricas, com numerais tabulares.</w:t>
      </w:r>
    </w:p>
    <w:p>
      <w:pPr>
        <w:pStyle w:val="ListBullet"/>
      </w:pPr>
      <w:r>
        <w:t>Fallbacks: Inter/Arial e ui-monospace/monospace.</w:t>
      </w:r>
    </w:p>
    <w:p>
      <w:pPr>
        <w:pStyle w:val="ListBullet"/>
      </w:pPr>
      <w:r>
        <w:t>Escala existente: títulos 24–28px; cards 14–16px; KPIs 26–32px; tabelas 12–14px; corpo 14px. Não reestilizar.</w:t>
      </w:r>
    </w:p>
    <w:p>
      <w:pPr>
        <w:pStyle w:val="Heading1"/>
      </w:pPr>
      <w:r>
        <w:t>5. Tom de voz e microcopy</w:t>
      </w:r>
    </w:p>
    <w:p>
      <w:pPr>
        <w:pStyle w:val="ListBullet"/>
      </w:pPr>
      <w:r>
        <w:t>Slogan: “Rastreie. Analise. Decida.”</w:t>
      </w:r>
    </w:p>
    <w:p>
      <w:pPr>
        <w:pStyle w:val="ListBullet"/>
      </w:pPr>
      <w:r>
        <w:t>Landing: “Pare de adivinhar. Comece a decidir.”</w:t>
      </w:r>
    </w:p>
    <w:p>
      <w:pPr>
        <w:pStyle w:val="ListBullet"/>
      </w:pPr>
      <w:r>
        <w:t>Subtítulo: “Acompanhe todas as ofertas, veja o lucro real e identifique o próximo movimento.”</w:t>
      </w:r>
    </w:p>
    <w:p>
      <w:pPr>
        <w:pStyle w:val="ListBullet"/>
      </w:pPr>
      <w:r>
        <w:t>CTA: “Analisar minhas ofertas”.</w:t>
      </w:r>
    </w:p>
    <w:p>
      <w:pPr>
        <w:pStyle w:val="ListBullet"/>
      </w:pPr>
      <w:r>
        <w:t>Estados: “Escalar”, “Manter”, “Pausar” com critérios explicáveis.</w:t>
      </w:r>
    </w:p>
    <w:p>
      <w:pPr>
        <w:pStyle w:val="ListBullet"/>
      </w:pPr>
      <w:r>
        <w:t>Alterar apenas ocorrências institucionais da marca anterior; manter os textos funcionais existentes.</w:t>
      </w:r>
    </w:p>
    <w:p>
      <w:pPr>
        <w:pStyle w:val="ListBullet"/>
      </w:pPr>
      <w:r>
        <w:t>Evitar promessas de lucro garantido, urgência artificial e recomendações com certeza indevida.</w:t>
      </w:r>
    </w:p>
    <w:p>
      <w:pPr>
        <w:pStyle w:val="Heading1"/>
      </w:pPr>
      <w:r>
        <w:t>6. Diretrizes de interface — NÃO REDESENHAR</w:t>
      </w:r>
    </w:p>
    <w:p>
      <w:pPr>
        <w:pStyle w:val="ListBullet"/>
      </w:pPr>
      <w:r>
        <w:t>Dark-first, fundo #0F1114, cards #1A1E23, bordas discretas e espaçamento consistente.</w:t>
      </w:r>
    </w:p>
    <w:p>
      <w:pPr>
        <w:pStyle w:val="ListBullet"/>
      </w:pPr>
      <w:r>
        <w:t>Preservar sidebar, lista de ofertas, visão geral, dashboards, funil, ranking de criativos, gráficos e filtros.</w:t>
      </w:r>
    </w:p>
    <w:p>
      <w:pPr>
        <w:pStyle w:val="ListBullet"/>
      </w:pPr>
      <w:r>
        <w:t>Preservar ícones lineares, responsividade, estados de loading/erro e acessibilidade.</w:t>
      </w:r>
    </w:p>
    <w:p>
      <w:pPr>
        <w:pStyle w:val="ListBullet"/>
      </w:pPr>
      <w:r>
        <w:t>Não adicionar glassmorphism, gradientes, sombras novas, novas telas ou novos componentes visuais.</w:t>
      </w:r>
    </w:p>
    <w:p>
      <w:pPr>
        <w:pStyle w:val="Heading1"/>
      </w:pPr>
      <w:r>
        <w:t>7. Dados, métricas e confiabilidade — NÃO MODIFICAR</w:t>
      </w:r>
    </w:p>
    <w:p>
      <w:pPr>
        <w:pStyle w:val="ListBullet"/>
      </w:pPr>
      <w:r>
        <w:t>Preservar integrações, UTMs, Pixel, API de Conversões, event_id, fontes de dados e regras de deduplicação.</w:t>
      </w:r>
    </w:p>
    <w:p>
      <w:pPr>
        <w:pStyle w:val="ListBullet"/>
      </w:pPr>
      <w:r>
        <w:t>Preservar APIs, banco, autenticação, sessões, permissões, cálculo de lucro, CPA e ROAS.</w:t>
      </w:r>
    </w:p>
    <w:p>
      <w:pPr>
        <w:pStyle w:val="ListBullet"/>
      </w:pPr>
      <w:r>
        <w:t>Preservar integrações-alvo Hotmart, Kiwify, Eduzz e Shopify conforme implementação atual.</w:t>
      </w:r>
    </w:p>
    <w:p>
      <w:pPr>
        <w:pStyle w:val="ListBullet"/>
      </w:pPr>
      <w:r>
        <w:t>Não alterar períodos de atribuição, fuso horário, moeda, eventos ou reconciliação.</w:t>
      </w:r>
    </w:p>
    <w:p>
      <w:pPr>
        <w:pStyle w:val="ListBullet"/>
      </w:pPr>
      <w:r>
        <w:t>Nunca inventar dados nem afirmar integrações concluídas sem testes.</w:t>
      </w:r>
    </w:p>
    <w:p>
      <w:pPr>
        <w:pStyle w:val="Heading1"/>
      </w:pPr>
      <w:r>
        <w:t>8. Componentes e comportamento — NÃO MODIFICAR</w:t>
      </w:r>
    </w:p>
    <w:p>
      <w:pPr>
        <w:pStyle w:val="ListBullet"/>
      </w:pPr>
      <w:r>
        <w:t>Botão primário: #C8F169 e texto #0F1114; preservar hover/focus/disabled.</w:t>
      </w:r>
    </w:p>
    <w:p>
      <w:pPr>
        <w:pStyle w:val="ListBullet"/>
      </w:pPr>
      <w:r>
        <w:t>Botão secundário, cards, tabelas, gráficos e alertas: manter estilos e comportamento.</w:t>
      </w:r>
    </w:p>
    <w:p>
      <w:pPr>
        <w:pStyle w:val="ListBullet"/>
      </w:pPr>
      <w:r>
        <w:t>Responsividade: manter sidebar recolhível, tabelas com rolagem e KPIs em grid.</w:t>
      </w:r>
    </w:p>
    <w:p>
      <w:pPr>
        <w:pStyle w:val="ListBullet"/>
      </w:pPr>
      <w:r>
        <w:t>Acessibilidade: manter contraste, rótulos e navegação por teclado.</w:t>
      </w:r>
    </w:p>
    <w:p>
      <w:pPr>
        <w:pStyle w:val="Heading1"/>
      </w:pPr>
      <w:r>
        <w:t>9. Aplicação da marca</w:t>
      </w:r>
    </w:p>
    <w:p>
      <w:pPr>
        <w:pStyle w:val="ListBullet"/>
      </w:pPr>
      <w:r>
        <w:t>Logo horizontal: login, landing, cabeçalho institucional.</w:t>
      </w:r>
    </w:p>
    <w:p>
      <w:pPr>
        <w:pStyle w:val="ListBullet"/>
      </w:pPr>
      <w:r>
        <w:t>Monograma: sidebar recolhida, favicon e ícone de app.</w:t>
      </w:r>
    </w:p>
    <w:p>
      <w:pPr>
        <w:pStyle w:val="ListBullet"/>
      </w:pPr>
      <w:r>
        <w:t>Versão escura: símbolo branco e verde-lima, wordmark branco sobre #0F1114.</w:t>
      </w:r>
    </w:p>
    <w:p>
      <w:pPr>
        <w:pStyle w:val="ListBullet"/>
      </w:pPr>
      <w:r>
        <w:t>Versão clara: símbolo grafite e verde-lima, wordmark grafite sobre #F5F7F8.</w:t>
      </w:r>
    </w:p>
    <w:p>
      <w:pPr>
        <w:pStyle w:val="ListBullet"/>
      </w:pPr>
      <w:r>
        <w:t>Preservar proporções, área de respiro, dimensões e alinhamentos dos componentes existentes.</w:t>
      </w:r>
    </w:p>
    <w:p>
      <w:pPr>
        <w:pStyle w:val="ListBullet"/>
      </w:pPr>
      <w:r>
        <w:t>Testar o ícone em 16, 24, 32 e 48px. Não esticar, sombrear, aplicar gradientes nem modificar cores.</w:t>
      </w:r>
    </w:p>
    <w:p>
      <w:pPr>
        <w:pStyle w:val="Heading1"/>
      </w:pPr>
      <w:r>
        <w:t>10. Migração KAVRO → TRAKFY — ESCOPO RESTRITO</w:t>
      </w:r>
    </w:p>
    <w:p>
      <w:pPr>
        <w:pStyle w:val="ListBullet"/>
      </w:pPr>
      <w:r>
        <w:t>Alterar apenas nome comercial exibido, logos, favicon, ícone do app, título da aba, metadados de marca e slogan.</w:t>
      </w:r>
    </w:p>
    <w:p>
      <w:pPr>
        <w:pStyle w:val="ListBullet"/>
      </w:pPr>
      <w:r>
        <w:t>Não alterar lógica de negócio, componentes de interface, estrutura, rotas, endpoints, bancos, autenticação, integrações ou configurações.</w:t>
      </w:r>
    </w:p>
    <w:p>
      <w:pPr>
        <w:pStyle w:val="ListBullet"/>
      </w:pPr>
      <w:r>
        <w:t>Não substituir cegamente a string “kavro” em identificadores internos, nomes de tabelas, variáveis de ambiente, URLs ou chaves persistidas.</w:t>
      </w:r>
    </w:p>
    <w:p>
      <w:pPr>
        <w:pStyle w:val="ListBullet"/>
      </w:pPr>
      <w:r>
        <w:t>Inspecionar primeiro o repositório e propor o menor conjunto de mudanças; proteger o trabalho atual com controle de versão.</w:t>
      </w:r>
    </w:p>
    <w:p>
      <w:pPr>
        <w:pStyle w:val="ListBullet"/>
      </w:pPr>
      <w:r>
        <w:t>Validar lint/build/testes disponíveis, login, sidebar, telas principais, responsividade e ausência de regressões.</w:t>
      </w:r>
    </w:p>
    <w:p>
      <w:pPr>
        <w:pStyle w:val="Heading1"/>
      </w:pPr>
      <w:r>
        <w:t>11. Prompt pronto para Claude Code</w:t>
      </w:r>
    </w:p>
    <w:p>
      <w:pPr>
        <w:pStyle w:val="ListBullet"/>
      </w:pPr>
      <w:r>
        <w:t>O prompt completo está no arquivo PROMPT_CLAUDE_CODE.txt, incluído no kit. Cole-o no Claude Code com acesso ao repositório e forneça os SVGs.</w:t>
      </w:r>
    </w:p>
    <w:p>
      <w:pPr>
        <w:pStyle w:val="ListBullet"/>
      </w:pPr>
      <w:r>
        <w:t>Exigir plano inicial, mudanças mínimas, validação e relatório final de arquivos modificados.</w:t>
      </w:r>
    </w:p>
    <w:p>
      <w:pPr>
        <w:pStyle w:val="Heading1"/>
      </w:pPr>
      <w:r>
        <w:t>12. Entregáveis e validação</w:t>
      </w:r>
    </w:p>
    <w:p>
      <w:pPr>
        <w:pStyle w:val="ListBullet"/>
      </w:pPr>
      <w:r>
        <w:t>Manual DOCX, prompt TXT, 5 SVGs e prancha de referência PNG.</w:t>
      </w:r>
    </w:p>
    <w:p>
      <w:pPr>
        <w:pStyle w:val="ListBullet"/>
      </w:pPr>
      <w:r>
        <w:t>Antes de publicar: conferir fidelidade do vetor à opção 01 Original; testar favicon; validar disponibilidade de marca/domínio e licenças de fontes.</w:t>
      </w:r>
    </w:p>
    <w:p>
      <w:pPr>
        <w:pStyle w:val="ListBullet"/>
      </w:pPr>
      <w:r>
        <w:t>Mudança de marca não implica renomear repositório, domínio, identificadores técnicos ou estrutura de dados.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TRAKFY · Manual de identidade e migração segura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1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1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1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