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KAVRO</w:t>
      </w:r>
    </w:p>
    <w:p>
      <w:pPr>
        <w:pStyle w:val="Subtitle"/>
      </w:pPr>
      <w:r>
        <w:t>Manual de identidade de marca e implementação do SaaS</w:t>
      </w:r>
    </w:p>
    <w:p>
      <w:r>
        <w:t>Versão 1.0 · 18 de outubro de 2026 · Documento para implementação no Claude</w:t>
      </w:r>
    </w:p>
    <w:p>
      <w:pPr>
        <w:pStyle w:val="Heading1"/>
      </w:pPr>
      <w:r>
        <w:t>1. Essência e posicionamento</w:t>
      </w:r>
    </w:p>
    <w:p>
      <w:pPr>
        <w:pStyle w:val="ListBullet"/>
      </w:pPr>
      <w:r>
        <w:t>Nome: KAVRO (apresentação preferencial no produto: kavro).</w:t>
      </w:r>
    </w:p>
    <w:p>
      <w:pPr>
        <w:pStyle w:val="ListBullet"/>
      </w:pPr>
      <w:r>
        <w:t>Categoria: SaaS de gestão, rastreamento e análise de ofertas de tráfego pago.</w:t>
      </w:r>
    </w:p>
    <w:p>
      <w:pPr>
        <w:pStyle w:val="ListBullet"/>
      </w:pPr>
      <w:r>
        <w:t>Promessa: centralizar dados de mídia e vendas reais para apoiar decisões por oferta.</w:t>
      </w:r>
    </w:p>
    <w:p>
      <w:pPr>
        <w:pStyle w:val="ListBullet"/>
      </w:pPr>
      <w:r>
        <w:t>Slogan: Cada oferta. Uma decisão.</w:t>
      </w:r>
    </w:p>
    <w:p>
      <w:pPr>
        <w:pStyle w:val="ListBullet"/>
      </w:pPr>
      <w:r>
        <w:t>Público: gestores de tráfego, infoprodutores e afiliados no Brasil e na América Latina.</w:t>
      </w:r>
    </w:p>
    <w:p>
      <w:pPr>
        <w:pStyle w:val="ListBullet"/>
      </w:pPr>
      <w:r>
        <w:t>Personalidade: técnica, objetiva, precisa, confiável, direta, sem exageros.</w:t>
      </w:r>
    </w:p>
    <w:p>
      <w:pPr>
        <w:pStyle w:val="ListBullet"/>
      </w:pPr>
      <w:r>
        <w:t>Posicionamento: plataforma de decisão sobre ofertas; não é planilha, nem ferramenta genérica de relatórios.</w:t>
      </w:r>
    </w:p>
    <w:p>
      <w:pPr>
        <w:pStyle w:val="Heading1"/>
      </w:pPr>
      <w:r>
        <w:t>2. Logo oficial — Monograma K</w:t>
      </w:r>
    </w:p>
    <w:p>
      <w:r>
        <w:t>Símbolo: letra K geométrica, com haste vertical e duas diagonais angulares. O símbolo deve funcionar isoladamente em tamanhos pequenos. Wordmark: “kavro” em caixa baixa, tipografia sans-serif de peso forte, com espaçamento compacto.</w:t>
      </w:r>
    </w:p>
    <w:p>
      <w:r>
        <w:t>Variações entregues: horizontal em fundo escuro, horizontal em fundo claro, monograma escuro, monograma claro e ícone quadrado do aplicativo. SVGs são a fonte vetorial de referência; PNGs são exportações de conveniência.</w:t>
      </w:r>
    </w:p>
    <w:p>
      <w:r>
        <w:t>Observação técnica: o wordmark SVG usa Geist com fallback Arial; para identidade final consistente, instalar Geist e converter a tipografia em contornos no editor vetorial. Os arquivos são estudos implementáveis, não registro de marca.</w:t>
      </w:r>
    </w:p>
    <w:p>
      <w:pPr>
        <w:pStyle w:val="Heading1"/>
      </w:pPr>
      <w:r>
        <w:t>3. Paleta oficial</w:t>
      </w:r>
    </w:p>
    <w:p>
      <w:pPr>
        <w:pStyle w:val="ListBullet"/>
      </w:pPr>
      <w:r>
        <w:t>Fundo principal: #0F1114 — canvas do produto.</w:t>
      </w:r>
    </w:p>
    <w:p>
      <w:pPr>
        <w:pStyle w:val="ListBullet"/>
      </w:pPr>
      <w:r>
        <w:t>Superfícies e cards: #1A1E23.</w:t>
      </w:r>
    </w:p>
    <w:p>
      <w:pPr>
        <w:pStyle w:val="ListBullet"/>
      </w:pPr>
      <w:r>
        <w:t>Bordas/divisórias: #272D33 ou #30353B.</w:t>
      </w:r>
    </w:p>
    <w:p>
      <w:pPr>
        <w:pStyle w:val="ListBullet"/>
      </w:pPr>
      <w:r>
        <w:t>Cor de marca/CTA: #C8F169 — uso contido e intencional.</w:t>
      </w:r>
    </w:p>
    <w:p>
      <w:pPr>
        <w:pStyle w:val="ListBullet"/>
      </w:pPr>
      <w:r>
        <w:t>Texto principal: #F5F7F8.</w:t>
      </w:r>
    </w:p>
    <w:p>
      <w:pPr>
        <w:pStyle w:val="ListBullet"/>
      </w:pPr>
      <w:r>
        <w:t>Texto secundário: #A7ADB5.</w:t>
      </w:r>
    </w:p>
    <w:p>
      <w:pPr>
        <w:pStyle w:val="ListBullet"/>
      </w:pPr>
      <w:r>
        <w:t>Lucro/positivo: #34C78A.</w:t>
      </w:r>
    </w:p>
    <w:p>
      <w:pPr>
        <w:pStyle w:val="ListBullet"/>
      </w:pPr>
      <w:r>
        <w:t>Prejuízo/negativo: #F16D75.</w:t>
      </w:r>
    </w:p>
    <w:p>
      <w:pPr>
        <w:pStyle w:val="ListBullet"/>
      </w:pPr>
      <w:r>
        <w:t>Atenção: #E8B75B.</w:t>
      </w:r>
    </w:p>
    <w:p>
      <w:r>
        <w:t>Não usar o verde-limão como sinônimo de lucro: a cor de marca é diferente do verde semântico. Garantir contraste legível em estados e gráficos.</w:t>
      </w:r>
    </w:p>
    <w:p>
      <w:pPr>
        <w:pStyle w:val="Heading1"/>
      </w:pPr>
      <w:r>
        <w:t>4. Tipografia</w:t>
      </w:r>
    </w:p>
    <w:p>
      <w:r>
        <w:t>Geist Sans: títulos, menus, botões, filtros, tabelas e texto de interface. Geist Mono: valores financeiros, CPA, ROAS, datas e métricas; usar numerais tabulares. Fallbacks: Inter/Arial para sans e ui-monospace/monospace para dados.</w:t>
      </w:r>
    </w:p>
    <w:p>
      <w:r>
        <w:t>Escala recomendada: títulos de página 24–28px; títulos de cards 14–16px; KPIs 26–32px; tabelas 12–14px; texto comum 14px. Não reduzir legibilidade para aumentar densidade.</w:t>
      </w:r>
    </w:p>
    <w:p>
      <w:pPr>
        <w:pStyle w:val="Heading1"/>
      </w:pPr>
      <w:r>
        <w:t>5. Tom de voz e microcopy</w:t>
      </w:r>
    </w:p>
    <w:p>
      <w:pPr>
        <w:pStyle w:val="ListBullet"/>
      </w:pPr>
      <w:r>
        <w:t>Landing: “Pare de adivinhar. Comece a decidir.”</w:t>
      </w:r>
    </w:p>
    <w:p>
      <w:pPr>
        <w:pStyle w:val="ListBullet"/>
      </w:pPr>
      <w:r>
        <w:t>Subtítulo: “Acompanhe todas as ofertas, veja o lucro real e identifique o próximo movimento.”</w:t>
      </w:r>
    </w:p>
    <w:p>
      <w:pPr>
        <w:pStyle w:val="ListBullet"/>
      </w:pPr>
      <w:r>
        <w:t>CTA: “Analisar minhas ofertas”.</w:t>
      </w:r>
    </w:p>
    <w:p>
      <w:pPr>
        <w:pStyle w:val="ListBullet"/>
      </w:pPr>
      <w:r>
        <w:t>Alerta: “O CPA aumentou 28% nos últimos 3 dias. Revise a campanha antes de elevar o orçamento.”</w:t>
      </w:r>
    </w:p>
    <w:p>
      <w:pPr>
        <w:pStyle w:val="ListBullet"/>
      </w:pPr>
      <w:r>
        <w:t>Estados: “Escalar”, “Manter”, “Pausar” — sempre acompanhados dos critérios que justificam a indicação.</w:t>
      </w:r>
    </w:p>
    <w:p>
      <w:pPr>
        <w:pStyle w:val="ListBullet"/>
      </w:pPr>
      <w:r>
        <w:t>Espanhol: “Cada oferta. Una decisión.” / “Deja de adivinar. Empieza a decidir.”</w:t>
      </w:r>
    </w:p>
    <w:p>
      <w:r>
        <w:t>Evitar promessas de lucro garantido, urgência artificial, emojis, linguagem motivacional vazia e certeza indevida sobre recomendações automatizadas.</w:t>
      </w:r>
    </w:p>
    <w:p>
      <w:pPr>
        <w:pStyle w:val="Heading1"/>
      </w:pPr>
      <w:r>
        <w:t>6. Diretrizes de interface</w:t>
      </w:r>
    </w:p>
    <w:p>
      <w:pPr>
        <w:pStyle w:val="ListBullet"/>
      </w:pPr>
      <w:r>
        <w:t>Dark-first: fundo #0F1114, cards #1A1E23, bordas discretas e espaços consistentes.</w:t>
      </w:r>
    </w:p>
    <w:p>
      <w:pPr>
        <w:pStyle w:val="ListBullet"/>
      </w:pPr>
      <w:r>
        <w:t>Sidebar com marca e lista de ofertas; selecionar oferta muda o escopo de todos os dados da tela.</w:t>
      </w:r>
    </w:p>
    <w:p>
      <w:pPr>
        <w:pStyle w:val="ListBullet"/>
      </w:pPr>
      <w:r>
        <w:t>Visão geral: ofertas lado a lado, gasto, vendas, CPA, ROAS, lucro líquido e reembolsos.</w:t>
      </w:r>
    </w:p>
    <w:p>
      <w:pPr>
        <w:pStyle w:val="ListBullet"/>
      </w:pPr>
      <w:r>
        <w:t>Dashboard por oferta: KPIs, gráfico diário de gasto versus receita, funil e tabelas de campanhas/conjuntos/anúncios.</w:t>
      </w:r>
    </w:p>
    <w:p>
      <w:pPr>
        <w:pStyle w:val="ListBullet"/>
      </w:pPr>
      <w:r>
        <w:t>Ranking de criativos: CTR, hook rate, CPA e ROAS, com filtros e período claramente visíveis.</w:t>
      </w:r>
    </w:p>
    <w:p>
      <w:pPr>
        <w:pStyle w:val="ListBullet"/>
      </w:pPr>
      <w:r>
        <w:t>Estados semânticos com texto além da cor; não usar somente verde/vermelho para informar decisões.</w:t>
      </w:r>
    </w:p>
    <w:p>
      <w:pPr>
        <w:pStyle w:val="ListBullet"/>
      </w:pPr>
      <w:r>
        <w:t>Ações recomendadas precisam mostrar fonte, período, critérios e limites dos dados.</w:t>
      </w:r>
    </w:p>
    <w:p>
      <w:pPr>
        <w:pStyle w:val="ListBullet"/>
      </w:pPr>
      <w:r>
        <w:t>Usar ícones lineares discretos; sem glassmorphism, gradientes roxos, sombras exageradas ou ilustrações genéricas.</w:t>
      </w:r>
    </w:p>
    <w:p>
      <w:pPr>
        <w:pStyle w:val="Heading1"/>
      </w:pPr>
      <w:r>
        <w:t>7. Dados, métricas e confiabilidade</w:t>
      </w:r>
    </w:p>
    <w:p>
      <w:pPr>
        <w:pStyle w:val="ListBullet"/>
      </w:pPr>
      <w:r>
        <w:t>Conectar Meta Pixel + API de Conversões com deduplicação por event_id quando aplicável.</w:t>
      </w:r>
    </w:p>
    <w:p>
      <w:pPr>
        <w:pStyle w:val="ListBullet"/>
      </w:pPr>
      <w:r>
        <w:t>Padronizar UTMs e reconciliar dados de anúncios com pedidos efetivos das plataformas de vendas.</w:t>
      </w:r>
    </w:p>
    <w:p>
      <w:pPr>
        <w:pStyle w:val="ListBullet"/>
      </w:pPr>
      <w:r>
        <w:t>Integrações-alvo: Hotmart, Kiwify, Eduzz e Shopify; verificar APIs, autenticação e limites de cada serviço.</w:t>
      </w:r>
    </w:p>
    <w:p>
      <w:pPr>
        <w:pStyle w:val="ListBullet"/>
      </w:pPr>
      <w:r>
        <w:t>Lucro líquido deve descontar gasto em mídia, reembolsos, taxas e custos cadastrados; explicitar a fórmula adotada.</w:t>
      </w:r>
    </w:p>
    <w:p>
      <w:pPr>
        <w:pStyle w:val="ListBullet"/>
      </w:pPr>
      <w:r>
        <w:t>Exibir moeda, fuso horário, período de atribuição, atraso de sincronização e origem dos números.</w:t>
      </w:r>
    </w:p>
    <w:p>
      <w:pPr>
        <w:pStyle w:val="ListBullet"/>
      </w:pPr>
      <w:r>
        <w:t>Não tratar ROAS reportado pela mídia como prova automática de lucro.</w:t>
      </w:r>
    </w:p>
    <w:p>
      <w:pPr>
        <w:pStyle w:val="ListBullet"/>
      </w:pPr>
      <w:r>
        <w:t>Tratar divergências e dados ausentes como estados visíveis, sem inventar valores.</w:t>
      </w:r>
    </w:p>
    <w:p>
      <w:pPr>
        <w:pStyle w:val="Heading1"/>
      </w:pPr>
      <w:r>
        <w:t>8. Componentes e comportamento</w:t>
      </w:r>
    </w:p>
    <w:p>
      <w:pPr>
        <w:pStyle w:val="ListBullet"/>
      </w:pPr>
      <w:r>
        <w:t>Botão primário: fundo #C8F169, texto #0F1114, estados hover/focus/disabled.</w:t>
      </w:r>
    </w:p>
    <w:p>
      <w:pPr>
        <w:pStyle w:val="ListBullet"/>
      </w:pPr>
      <w:r>
        <w:t>Botão secundário: superfície escura, borda sutil e texto claro.</w:t>
      </w:r>
    </w:p>
    <w:p>
      <w:pPr>
        <w:pStyle w:val="ListBullet"/>
      </w:pPr>
      <w:r>
        <w:t>Cards: fundo #1A1E23, cantos discretos e espaçamento regular.</w:t>
      </w:r>
    </w:p>
    <w:p>
      <w:pPr>
        <w:pStyle w:val="ListBullet"/>
      </w:pPr>
      <w:r>
        <w:t>Tabelas: cabeçalho fixo quando útil, alinhamento numérico à direita, ordenação e filtros.</w:t>
      </w:r>
    </w:p>
    <w:p>
      <w:pPr>
        <w:pStyle w:val="ListBullet"/>
      </w:pPr>
      <w:r>
        <w:t>Gráficos: linhas sólidas e contraste adequado; legenda sempre visível.</w:t>
      </w:r>
    </w:p>
    <w:p>
      <w:pPr>
        <w:pStyle w:val="ListBullet"/>
      </w:pPr>
      <w:r>
        <w:t>Alertas: indicar gravidade, motivo, ação recomendada e data de atualização.</w:t>
      </w:r>
    </w:p>
    <w:p>
      <w:pPr>
        <w:pStyle w:val="ListBullet"/>
      </w:pPr>
      <w:r>
        <w:t>Responsividade: sidebar recolhível, tabelas com rolagem horizontal e KPIs em grid adaptativo.</w:t>
      </w:r>
    </w:p>
    <w:p>
      <w:pPr>
        <w:pStyle w:val="ListBullet"/>
      </w:pPr>
      <w:r>
        <w:t>Acessibilidade: foco visível, navegação por teclado, rótulos e contraste WCAG apropriado.</w:t>
      </w:r>
    </w:p>
    <w:p>
      <w:pPr>
        <w:pStyle w:val="Heading1"/>
      </w:pPr>
      <w:r>
        <w:t>9. Regras de aplicação da marca</w:t>
      </w:r>
    </w:p>
    <w:p>
      <w:pPr>
        <w:pStyle w:val="ListBullet"/>
      </w:pPr>
      <w:r>
        <w:t>Usar logo horizontal em login, landing page e cabeçalho institucional.</w:t>
      </w:r>
    </w:p>
    <w:p>
      <w:pPr>
        <w:pStyle w:val="ListBullet"/>
      </w:pPr>
      <w:r>
        <w:t>Usar monograma no menu lateral recolhido, favicon e app.</w:t>
      </w:r>
    </w:p>
    <w:p>
      <w:pPr>
        <w:pStyle w:val="ListBullet"/>
      </w:pPr>
      <w:r>
        <w:t>Preservar proporção original e área de respiro mínima equivalente à largura da haste do K.</w:t>
      </w:r>
    </w:p>
    <w:p>
      <w:pPr>
        <w:pStyle w:val="ListBullet"/>
      </w:pPr>
      <w:r>
        <w:t>Não esticar, inclinar, sombrear, aplicar gradientes ou alterar a cor arbitrariamente.</w:t>
      </w:r>
    </w:p>
    <w:p>
      <w:pPr>
        <w:pStyle w:val="ListBullet"/>
      </w:pPr>
      <w:r>
        <w:t>Para fundos claros, usar versão monocromática grafite.</w:t>
      </w:r>
    </w:p>
    <w:p>
      <w:pPr>
        <w:pStyle w:val="ListBullet"/>
      </w:pPr>
      <w:r>
        <w:t>Validar legibilidade do monograma em 16, 24, 32 e 48px antes da exportação final.</w:t>
      </w:r>
    </w:p>
    <w:p>
      <w:pPr>
        <w:pStyle w:val="Heading1"/>
      </w:pPr>
      <w:r>
        <w:t>10. Instrução pronta para o Claude</w:t>
      </w:r>
    </w:p>
    <w:p>
      <w:r>
        <w:t>Implemente a identidade KAVRO conforme este manual. Preserve o monograma K e o wordmark, use a paleta e as famílias tipográficas definidas, construa uma interface dark-first, responsiva e acessível. Estruture a aplicação com sidebar de ofertas, visão geral, dashboard individual, funil, ranking de criativos e estados de rastreamento. Não invente métricas reais nem alegue integrações concluídas sem autenticação e testes. Para Escalar/Manter/Pausar, apresente critérios explicáveis e estado “Dados insuficientes” quando necessário. Não introduza gradientes, glassmorphism, emojis ou componentes com aparência de template genérico.</w:t>
      </w:r>
    </w:p>
    <w:p>
      <w:pPr>
        <w:pStyle w:val="Heading1"/>
      </w:pPr>
      <w:r>
        <w:t>11. Entregáveis e validação</w:t>
      </w:r>
    </w:p>
    <w:p>
      <w:r>
        <w:t>O kit contém SVG e PNG das cinco variações e este manual. Antes de lançar, validar disponibilidade de marca/domínio, confirmar licenças de fontes, finalizar os contornos tipográficos e testar legibilidade e contraste em dispositivos reais.</w:t>
      </w:r>
    </w:p>
    <w:sectPr w:rsidR="00FC693F" w:rsidRPr="0006063C" w:rsidSect="00034616">
      <w:pgSz w:w="12240" w:h="15840"/>
      <w:pgMar w:top="1440" w:right="1800" w:bottom="1440" w:left="180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D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D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1D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