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0B818" w14:textId="77777777" w:rsidR="007E72B2" w:rsidRDefault="00000000">
      <w:pPr>
        <w:pStyle w:val="Titre"/>
      </w:pPr>
      <w:r>
        <w:t>Momentum-Based Equity Trading Strategy</w:t>
      </w:r>
    </w:p>
    <w:p w14:paraId="43C4E337" w14:textId="6C42EC41" w:rsidR="00A602BC" w:rsidRPr="00A602BC" w:rsidRDefault="00000000" w:rsidP="00A602BC">
      <w:pPr>
        <w:pStyle w:val="Author"/>
      </w:pPr>
      <w:r>
        <w:t>Denis Laurichesse</w:t>
      </w:r>
      <w:r w:rsidR="00D4484C">
        <w:t xml:space="preserve"> (April 2025)</w:t>
      </w:r>
      <w:r w:rsidR="00A602BC">
        <w:t>, denis.laurichesse@gmail.com</w:t>
      </w:r>
    </w:p>
    <w:p w14:paraId="0BE0B81A" w14:textId="77777777" w:rsidR="007E72B2" w:rsidRDefault="00000000">
      <w:pPr>
        <w:pStyle w:val="Titre1"/>
      </w:pPr>
      <w:bookmarkStart w:id="0" w:name="introduction"/>
      <w:r>
        <w:t>Introduction</w:t>
      </w:r>
    </w:p>
    <w:p w14:paraId="0BE0B81B" w14:textId="77777777" w:rsidR="007E72B2" w:rsidRDefault="00000000">
      <w:pPr>
        <w:pStyle w:val="FirstParagraph"/>
      </w:pPr>
      <w:r>
        <w:t>The trading strategy presented is a momentum-based investment approach specifically applied to equities. It focuses on a universe of individual stocks, such as those listed on major stock exchanges, and relies on momentum indicators derived from asset closing prices relative to their respective moving averages.</w:t>
      </w:r>
    </w:p>
    <w:p w14:paraId="0BE0B81C" w14:textId="77777777" w:rsidR="007E72B2" w:rsidRDefault="00000000">
      <w:pPr>
        <w:pStyle w:val="Titre1"/>
      </w:pPr>
      <w:bookmarkStart w:id="1" w:name="methodology"/>
      <w:bookmarkEnd w:id="0"/>
      <w:r>
        <w:t>Methodology</w:t>
      </w:r>
    </w:p>
    <w:p w14:paraId="0BE0B81D" w14:textId="53DAC789" w:rsidR="007E72B2" w:rsidRDefault="00000000">
      <w:pPr>
        <w:pStyle w:val="FirstParagraph"/>
      </w:pPr>
      <w:r>
        <w:t xml:space="preserve">Specifically, the momentum indicator is defined as a normalized difference between an asset’s closing price </w:t>
      </w:r>
      <w:r w:rsidR="00E00D68">
        <w:t xml:space="preserve">P </w:t>
      </w:r>
      <w:r>
        <w:t>and its moving average</w:t>
      </w:r>
      <w:r w:rsidR="00E00D68">
        <w:t xml:space="preserve"> MA</w:t>
      </w:r>
      <w:r>
        <w:t>, calculated as:</w:t>
      </w:r>
    </w:p>
    <w:p w14:paraId="0BE0B81E" w14:textId="77777777" w:rsidR="007E72B2" w:rsidRDefault="00000000">
      <w:pPr>
        <w:pStyle w:val="Corpsdetexte"/>
      </w:pPr>
      <m:oMathPara>
        <m:oMathParaPr>
          <m:jc m:val="center"/>
        </m:oMathParaPr>
        <m:oMath>
          <m:r>
            <w:rPr>
              <w:rFonts w:ascii="Cambria Math" w:hAnsi="Cambria Math"/>
            </w:rPr>
            <m:t>μ</m:t>
          </m:r>
          <m:r>
            <m:rPr>
              <m:sty m:val="p"/>
            </m:rPr>
            <w:rPr>
              <w:rFonts w:ascii="Cambria Math" w:hAnsi="Cambria Math"/>
            </w:rPr>
            <m:t>=</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MA</m:t>
              </m:r>
            </m:num>
            <m:den>
              <m:r>
                <w:rPr>
                  <w:rFonts w:ascii="Cambria Math" w:hAnsi="Cambria Math"/>
                </w:rPr>
                <m:t>MA</m:t>
              </m:r>
            </m:den>
          </m:f>
        </m:oMath>
      </m:oMathPara>
    </w:p>
    <w:p w14:paraId="0BE0B81F" w14:textId="77777777" w:rsidR="007E72B2" w:rsidRDefault="00000000">
      <w:pPr>
        <w:pStyle w:val="FirstParagraph"/>
      </w:pPr>
      <w:r>
        <w:t>This normalization facilitates direct comparisons across various assets, allowing their ranking based on momentum strength.</w:t>
      </w:r>
    </w:p>
    <w:p w14:paraId="0BE0B820" w14:textId="77777777" w:rsidR="007E72B2" w:rsidRDefault="00000000">
      <w:pPr>
        <w:pStyle w:val="Corpsdetexte"/>
      </w:pPr>
      <w:r>
        <w:t>Two distinct momentum indicators are calculated:</w:t>
      </w:r>
    </w:p>
    <w:p w14:paraId="0BE0B821" w14:textId="77777777" w:rsidR="007E72B2" w:rsidRDefault="00000000">
      <w:pPr>
        <w:numPr>
          <w:ilvl w:val="0"/>
          <w:numId w:val="2"/>
        </w:numPr>
      </w:pPr>
      <w:r>
        <w:t xml:space="preserve">A </w:t>
      </w:r>
      <w:r>
        <w:rPr>
          <w:b/>
          <w:bCs/>
        </w:rPr>
        <w:t>long-term momentum indicator</w:t>
      </w:r>
      <w:r>
        <w:t xml:space="preserve"> (</w:t>
      </w:r>
      <m:oMath>
        <m:sSub>
          <m:sSubPr>
            <m:ctrlPr>
              <w:rPr>
                <w:rFonts w:ascii="Cambria Math" w:hAnsi="Cambria Math"/>
              </w:rPr>
            </m:ctrlPr>
          </m:sSubPr>
          <m:e>
            <m:r>
              <w:rPr>
                <w:rFonts w:ascii="Cambria Math" w:hAnsi="Cambria Math"/>
              </w:rPr>
              <m:t>μ</m:t>
            </m:r>
          </m:e>
          <m:sub>
            <m:r>
              <m:rPr>
                <m:nor/>
              </m:rPr>
              <m:t>LT</m:t>
            </m:r>
          </m:sub>
        </m:sSub>
      </m:oMath>
      <w:r>
        <w:t>), computed using a 240-day period, used primarily for generating entry signals.</w:t>
      </w:r>
    </w:p>
    <w:p w14:paraId="0BE0B822" w14:textId="77777777" w:rsidR="007E72B2" w:rsidRDefault="00000000">
      <w:pPr>
        <w:numPr>
          <w:ilvl w:val="0"/>
          <w:numId w:val="2"/>
        </w:numPr>
      </w:pPr>
      <w:r>
        <w:t xml:space="preserve">A </w:t>
      </w:r>
      <w:r>
        <w:rPr>
          <w:b/>
          <w:bCs/>
        </w:rPr>
        <w:t>short-term momentum indicator</w:t>
      </w:r>
      <w:r>
        <w:t xml:space="preserve"> (</w:t>
      </w:r>
      <m:oMath>
        <m:sSub>
          <m:sSubPr>
            <m:ctrlPr>
              <w:rPr>
                <w:rFonts w:ascii="Cambria Math" w:hAnsi="Cambria Math"/>
              </w:rPr>
            </m:ctrlPr>
          </m:sSubPr>
          <m:e>
            <m:r>
              <w:rPr>
                <w:rFonts w:ascii="Cambria Math" w:hAnsi="Cambria Math"/>
              </w:rPr>
              <m:t>μ</m:t>
            </m:r>
          </m:e>
          <m:sub>
            <m:r>
              <m:rPr>
                <m:nor/>
              </m:rPr>
              <m:t>ST</m:t>
            </m:r>
          </m:sub>
        </m:sSub>
      </m:oMath>
      <w:r>
        <w:t>), computed using a 90-day period, designed for determining exit signals.</w:t>
      </w:r>
    </w:p>
    <w:p w14:paraId="0BE0B823" w14:textId="77777777" w:rsidR="007E72B2" w:rsidRDefault="00000000">
      <w:pPr>
        <w:pStyle w:val="FirstParagraph"/>
      </w:pPr>
      <w:r>
        <w:t xml:space="preserve">Asset weighting </w:t>
      </w:r>
      <m:oMath>
        <m:sSub>
          <m:sSubPr>
            <m:ctrlPr>
              <w:rPr>
                <w:rFonts w:ascii="Cambria Math" w:hAnsi="Cambria Math"/>
              </w:rPr>
            </m:ctrlPr>
          </m:sSubPr>
          <m:e>
            <m:r>
              <w:rPr>
                <w:rFonts w:ascii="Cambria Math" w:hAnsi="Cambria Math"/>
              </w:rPr>
              <m:t>w</m:t>
            </m:r>
          </m:e>
          <m:sub>
            <m:r>
              <w:rPr>
                <w:rFonts w:ascii="Cambria Math" w:hAnsi="Cambria Math"/>
              </w:rPr>
              <m:t>i</m:t>
            </m:r>
          </m:sub>
        </m:sSub>
        <m:d>
          <m:dPr>
            <m:ctrlPr>
              <w:rPr>
                <w:rFonts w:ascii="Cambria Math" w:hAnsi="Cambria Math"/>
              </w:rPr>
            </m:ctrlPr>
          </m:dPr>
          <m:e>
            <m:r>
              <w:rPr>
                <w:rFonts w:ascii="Cambria Math" w:hAnsi="Cambria Math"/>
              </w:rPr>
              <m:t>t</m:t>
            </m:r>
          </m:e>
        </m:d>
      </m:oMath>
      <w:r>
        <w:t xml:space="preserve"> at time </w:t>
      </w:r>
      <m:oMath>
        <m:r>
          <w:rPr>
            <w:rFonts w:ascii="Cambria Math" w:hAnsi="Cambria Math"/>
          </w:rPr>
          <m:t>t</m:t>
        </m:r>
      </m:oMath>
      <w:r>
        <w:t xml:space="preserve"> is computed following these rules:</w:t>
      </w:r>
    </w:p>
    <w:p w14:paraId="0BE0B824" w14:textId="77777777" w:rsidR="007E72B2" w:rsidRDefault="00000000">
      <w:pPr>
        <w:numPr>
          <w:ilvl w:val="0"/>
          <w:numId w:val="3"/>
        </w:numPr>
      </w:pPr>
      <w:r>
        <w:t xml:space="preserve">Assets are sorted based on their </w:t>
      </w:r>
      <m:oMath>
        <m:sSub>
          <m:sSubPr>
            <m:ctrlPr>
              <w:rPr>
                <w:rFonts w:ascii="Cambria Math" w:hAnsi="Cambria Math"/>
              </w:rPr>
            </m:ctrlPr>
          </m:sSubPr>
          <m:e>
            <m:r>
              <w:rPr>
                <w:rFonts w:ascii="Cambria Math" w:hAnsi="Cambria Math"/>
              </w:rPr>
              <m:t>μ</m:t>
            </m:r>
          </m:e>
          <m:sub>
            <m:r>
              <m:rPr>
                <m:nor/>
              </m:rPr>
              <m:t>LT</m:t>
            </m:r>
          </m:sub>
        </m:sSub>
      </m:oMath>
      <w:r>
        <w:t xml:space="preserve"> indicator in descending order.</w:t>
      </w:r>
    </w:p>
    <w:p w14:paraId="0BE0B825" w14:textId="77777777" w:rsidR="007E72B2" w:rsidRDefault="00000000">
      <w:pPr>
        <w:numPr>
          <w:ilvl w:val="0"/>
          <w:numId w:val="3"/>
        </w:numPr>
      </w:pPr>
      <w:r>
        <w:t>Asset selection (entry signal) and weighting occur if and only if the following conditions are simultaneously satisfied:</w:t>
      </w:r>
    </w:p>
    <w:p w14:paraId="0BE0B826" w14:textId="77777777" w:rsidR="007E72B2" w:rsidRDefault="00000000">
      <w:pPr>
        <w:numPr>
          <w:ilvl w:val="1"/>
          <w:numId w:val="4"/>
        </w:numPr>
      </w:pPr>
      <w:r>
        <w:t xml:space="preserve">Both </w:t>
      </w:r>
      <m:oMath>
        <m:sSub>
          <m:sSubPr>
            <m:ctrlPr>
              <w:rPr>
                <w:rFonts w:ascii="Cambria Math" w:hAnsi="Cambria Math"/>
              </w:rPr>
            </m:ctrlPr>
          </m:sSubPr>
          <m:e>
            <m:r>
              <w:rPr>
                <w:rFonts w:ascii="Cambria Math" w:hAnsi="Cambria Math"/>
              </w:rPr>
              <m:t>μ</m:t>
            </m:r>
          </m:e>
          <m:sub>
            <m:r>
              <m:rPr>
                <m:nor/>
              </m:rPr>
              <m:t>LT</m:t>
            </m:r>
          </m:sub>
        </m:sSub>
      </m:oMath>
      <w:r>
        <w:t xml:space="preserve"> and </w:t>
      </w:r>
      <m:oMath>
        <m:sSub>
          <m:sSubPr>
            <m:ctrlPr>
              <w:rPr>
                <w:rFonts w:ascii="Cambria Math" w:hAnsi="Cambria Math"/>
              </w:rPr>
            </m:ctrlPr>
          </m:sSubPr>
          <m:e>
            <m:r>
              <w:rPr>
                <w:rFonts w:ascii="Cambria Math" w:hAnsi="Cambria Math"/>
              </w:rPr>
              <m:t>μ</m:t>
            </m:r>
          </m:e>
          <m:sub>
            <m:r>
              <m:rPr>
                <m:nor/>
              </m:rPr>
              <m:t>ST</m:t>
            </m:r>
          </m:sub>
        </m:sSub>
      </m:oMath>
      <w:r>
        <w:t xml:space="preserve"> indicators for an asset are positive.</w:t>
      </w:r>
    </w:p>
    <w:p w14:paraId="0BE0B827" w14:textId="25A12CA5" w:rsidR="007E72B2" w:rsidRDefault="00000000">
      <w:pPr>
        <w:numPr>
          <w:ilvl w:val="1"/>
          <w:numId w:val="4"/>
        </w:numPr>
      </w:pPr>
      <w:r>
        <w:t xml:space="preserve">The market condition </w:t>
      </w:r>
      <m:oMath>
        <m:r>
          <w:rPr>
            <w:rFonts w:ascii="Cambria Math" w:hAnsi="Cambria Math"/>
          </w:rPr>
          <m:t>Φ</m:t>
        </m:r>
      </m:oMath>
      <w:r>
        <w:t xml:space="preserve"> (defined below) exceeds a threshold of 0.</w:t>
      </w:r>
      <w:r w:rsidR="004A2583">
        <w:t>1</w:t>
      </w:r>
      <w:r>
        <w:t>.</w:t>
      </w:r>
    </w:p>
    <w:p w14:paraId="0BE0B828" w14:textId="77777777" w:rsidR="007E72B2" w:rsidRDefault="00000000">
      <w:pPr>
        <w:numPr>
          <w:ilvl w:val="0"/>
          <w:numId w:val="3"/>
        </w:numPr>
      </w:pPr>
      <w:r>
        <w:t xml:space="preserve">Existing asset weights are retained from the previous period if the </w:t>
      </w:r>
      <m:oMath>
        <m:sSub>
          <m:sSubPr>
            <m:ctrlPr>
              <w:rPr>
                <w:rFonts w:ascii="Cambria Math" w:hAnsi="Cambria Math"/>
              </w:rPr>
            </m:ctrlPr>
          </m:sSubPr>
          <m:e>
            <m:r>
              <w:rPr>
                <w:rFonts w:ascii="Cambria Math" w:hAnsi="Cambria Math"/>
              </w:rPr>
              <m:t>μ</m:t>
            </m:r>
          </m:e>
          <m:sub>
            <m:r>
              <m:rPr>
                <m:nor/>
              </m:rPr>
              <m:t>ST</m:t>
            </m:r>
          </m:sub>
        </m:sSub>
      </m:oMath>
      <w:r>
        <w:t xml:space="preserve"> indicator remains positive.</w:t>
      </w:r>
    </w:p>
    <w:p w14:paraId="0BE0B829" w14:textId="77777777" w:rsidR="007E72B2" w:rsidRDefault="00000000">
      <w:pPr>
        <w:numPr>
          <w:ilvl w:val="0"/>
          <w:numId w:val="3"/>
        </w:numPr>
      </w:pPr>
      <w:r>
        <w:t xml:space="preserve">Up to a maximum of </w:t>
      </w:r>
      <m:oMath>
        <m:r>
          <w:rPr>
            <w:rFonts w:ascii="Cambria Math" w:hAnsi="Cambria Math"/>
          </w:rPr>
          <m:t>N</m:t>
        </m:r>
      </m:oMath>
      <w:r>
        <w:t xml:space="preserve"> assets are allocated equal weights of </w:t>
      </w:r>
      <m:oMath>
        <m:f>
          <m:fPr>
            <m:ctrlPr>
              <w:rPr>
                <w:rFonts w:ascii="Cambria Math" w:hAnsi="Cambria Math"/>
              </w:rPr>
            </m:ctrlPr>
          </m:fPr>
          <m:num>
            <m:r>
              <w:rPr>
                <w:rFonts w:ascii="Cambria Math" w:hAnsi="Cambria Math"/>
              </w:rPr>
              <m:t>1</m:t>
            </m:r>
          </m:num>
          <m:den>
            <m:r>
              <w:rPr>
                <w:rFonts w:ascii="Cambria Math" w:hAnsi="Cambria Math"/>
              </w:rPr>
              <m:t>N</m:t>
            </m:r>
          </m:den>
        </m:f>
      </m:oMath>
      <w:r>
        <w:t xml:space="preserve"> to ensure diversification and mitigate concentration risk.</w:t>
      </w:r>
    </w:p>
    <w:p w14:paraId="0BE0B82A" w14:textId="77777777" w:rsidR="007E72B2" w:rsidRDefault="00000000">
      <w:pPr>
        <w:pStyle w:val="FirstParagraph"/>
      </w:pPr>
      <w:r>
        <w:lastRenderedPageBreak/>
        <w:t xml:space="preserve">The market condition </w:t>
      </w:r>
      <m:oMath>
        <m:r>
          <w:rPr>
            <w:rFonts w:ascii="Cambria Math" w:hAnsi="Cambria Math"/>
          </w:rPr>
          <m:t>Φ</m:t>
        </m:r>
      </m:oMath>
      <w:r>
        <w:t xml:space="preserve"> is defined as:</w:t>
      </w:r>
    </w:p>
    <w:p w14:paraId="0BE0B82B" w14:textId="77777777" w:rsidR="007E72B2" w:rsidRDefault="00000000">
      <w:pPr>
        <w:pStyle w:val="Corpsdetexte"/>
      </w:pPr>
      <m:oMathPara>
        <m:oMathParaPr>
          <m:jc m:val="center"/>
        </m:oMathParaPr>
        <m:oMath>
          <m:r>
            <w:rPr>
              <w:rFonts w:ascii="Cambria Math" w:hAnsi="Cambria Math"/>
            </w:rPr>
            <m:t>Φ</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oMath>
      </m:oMathPara>
    </w:p>
    <w:p w14:paraId="0BE0B82C" w14:textId="77777777" w:rsidR="007E72B2" w:rsidRDefault="00000000">
      <w:pPr>
        <w:pStyle w:val="FirstParagraph"/>
      </w:pPr>
      <w:r>
        <w:t>where:</w:t>
      </w:r>
    </w:p>
    <w:p w14:paraId="0BE0B82D" w14:textId="0FACF8CB" w:rsidR="007E72B2" w:rsidRDefault="00000000">
      <w:pPr>
        <w:numPr>
          <w:ilvl w:val="0"/>
          <w:numId w:val="5"/>
        </w:numPr>
      </w:pP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represents the number of assets exhibiting positive </w:t>
      </w:r>
      <w:r w:rsidR="00E85E38">
        <w:t xml:space="preserve">long-term </w:t>
      </w:r>
      <w:r>
        <w:t>momentum.</w:t>
      </w:r>
    </w:p>
    <w:p w14:paraId="0BE0B82E" w14:textId="70B3EF63" w:rsidR="007E72B2" w:rsidRDefault="00000000">
      <w:pPr>
        <w:numPr>
          <w:ilvl w:val="0"/>
          <w:numId w:val="5"/>
        </w:numPr>
      </w:pP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t xml:space="preserve"> represents the number of assets exhibiting negative </w:t>
      </w:r>
      <w:r w:rsidR="00E85E38">
        <w:t xml:space="preserve">long-term </w:t>
      </w:r>
      <w:r>
        <w:t>momentum.</w:t>
      </w:r>
    </w:p>
    <w:p w14:paraId="0BE0B82F" w14:textId="77777777" w:rsidR="007E72B2" w:rsidRDefault="00000000">
      <w:pPr>
        <w:pStyle w:val="FirstParagraph"/>
      </w:pPr>
      <m:oMath>
        <m:r>
          <w:rPr>
            <w:rFonts w:ascii="Cambria Math" w:hAnsi="Cambria Math"/>
          </w:rPr>
          <m:t>Φ</m:t>
        </m:r>
      </m:oMath>
      <w:r>
        <w:t xml:space="preserve"> is a bounded oscillator that ranges between -1 and +1, providing a normalized measure of market momentum breadth.</w:t>
      </w:r>
    </w:p>
    <w:p w14:paraId="0BE0B830" w14:textId="77777777" w:rsidR="007E72B2" w:rsidRDefault="00000000">
      <w:pPr>
        <w:pStyle w:val="Corpsdetexte"/>
      </w:pPr>
      <w:r>
        <w:t xml:space="preserve">This market condition </w:t>
      </w:r>
      <m:oMath>
        <m:r>
          <w:rPr>
            <w:rFonts w:ascii="Cambria Math" w:hAnsi="Cambria Math"/>
          </w:rPr>
          <m:t>Φ</m:t>
        </m:r>
      </m:oMath>
      <w:r>
        <w:t xml:space="preserve"> acts as a robust indicator for identifying adverse market conditions, thereby improving the strategy’s performance during bearish phases. Empirical evidence suggests that </w:t>
      </w:r>
      <m:oMath>
        <m:r>
          <w:rPr>
            <w:rFonts w:ascii="Cambria Math" w:hAnsi="Cambria Math"/>
          </w:rPr>
          <m:t>Φ</m:t>
        </m:r>
      </m:oMath>
      <w:r>
        <w:t xml:space="preserve"> outperforms traditional index-based indicators in detecting market downturns. Additionally, the strategy is rebalanced on a monthly basis, with adjustments made at the end of each month. This regular review based on updated momentum signals and prevailing market conditions helps maintain alignment with market trends, potentially enhancing returns while managing risk exposure.</w:t>
      </w:r>
    </w:p>
    <w:p w14:paraId="0BE0B831" w14:textId="77777777" w:rsidR="007E72B2" w:rsidRDefault="00000000">
      <w:pPr>
        <w:pStyle w:val="Titre1"/>
      </w:pPr>
      <w:bookmarkStart w:id="2" w:name="backtest"/>
      <w:bookmarkEnd w:id="1"/>
      <w:r>
        <w:t>Backtest</w:t>
      </w:r>
    </w:p>
    <w:p w14:paraId="0BE0B832" w14:textId="77777777" w:rsidR="007E72B2" w:rsidRDefault="00000000">
      <w:pPr>
        <w:pStyle w:val="FirstParagraph"/>
      </w:pPr>
      <w:r>
        <w:t>To evaluate the effectiveness of the proposed momentum-based strategy, a historical backtest was conducted using the following setup:</w:t>
      </w:r>
    </w:p>
    <w:p w14:paraId="0BE0B833" w14:textId="77777777" w:rsidR="007E72B2" w:rsidRDefault="00000000" w:rsidP="00F544A2">
      <w:pPr>
        <w:pStyle w:val="TableCaption"/>
      </w:pPr>
      <w:bookmarkStart w:id="3" w:name="data"/>
      <w:r>
        <w:t>Data</w:t>
      </w:r>
    </w:p>
    <w:p w14:paraId="0BE0B834" w14:textId="77777777" w:rsidR="007E72B2" w:rsidRDefault="00000000">
      <w:pPr>
        <w:pStyle w:val="FirstParagraph"/>
      </w:pPr>
      <w:r>
        <w:t xml:space="preserve">The strategy was tested on a universe consisting of all stocks that have been constituents of the </w:t>
      </w:r>
      <w:r>
        <w:rPr>
          <w:b/>
          <w:bCs/>
        </w:rPr>
        <w:t>S&amp;P 500 index</w:t>
      </w:r>
      <w:r>
        <w:t xml:space="preserve"> since </w:t>
      </w:r>
      <w:r>
        <w:rPr>
          <w:b/>
          <w:bCs/>
        </w:rPr>
        <w:t>1980</w:t>
      </w:r>
      <w:r>
        <w:t>. Daily closing prices were used to compute momentum indicators and market conditions over the entire sample period.</w:t>
      </w:r>
    </w:p>
    <w:p w14:paraId="0BE0B835" w14:textId="77777777" w:rsidR="007E72B2" w:rsidRDefault="00000000" w:rsidP="00F544A2">
      <w:pPr>
        <w:pStyle w:val="TableCaption"/>
      </w:pPr>
      <w:bookmarkStart w:id="4" w:name="portfolio-construction"/>
      <w:bookmarkEnd w:id="3"/>
      <w:r>
        <w:t>Portfolio Construction</w:t>
      </w:r>
    </w:p>
    <w:p w14:paraId="0BE0B836" w14:textId="26E490E2" w:rsidR="007E72B2" w:rsidRDefault="00000000">
      <w:pPr>
        <w:pStyle w:val="FirstParagraph"/>
      </w:pPr>
      <w:r>
        <w:t xml:space="preserve">At each rebalancing point (end of each month), the strategy selected a maximum of </w:t>
      </w:r>
      <w:r>
        <w:rPr>
          <w:b/>
          <w:bCs/>
        </w:rPr>
        <w:t>1</w:t>
      </w:r>
      <w:r w:rsidR="00B54466">
        <w:rPr>
          <w:b/>
          <w:bCs/>
        </w:rPr>
        <w:t>5</w:t>
      </w:r>
      <w:r>
        <w:rPr>
          <w:b/>
          <w:bCs/>
        </w:rPr>
        <w:t xml:space="preserve"> stocks</w:t>
      </w:r>
      <w:r>
        <w:t xml:space="preserve"> (</w:t>
      </w:r>
      <m:oMath>
        <m:r>
          <w:rPr>
            <w:rFonts w:ascii="Cambria Math" w:hAnsi="Cambria Math"/>
          </w:rPr>
          <m:t>N</m:t>
        </m:r>
        <m:r>
          <m:rPr>
            <m:sty m:val="p"/>
          </m:rPr>
          <w:rPr>
            <w:rFonts w:ascii="Cambria Math" w:hAnsi="Cambria Math"/>
          </w:rPr>
          <m:t>=</m:t>
        </m:r>
        <m:r>
          <w:rPr>
            <w:rFonts w:ascii="Cambria Math" w:hAnsi="Cambria Math"/>
          </w:rPr>
          <m:t>15</m:t>
        </m:r>
      </m:oMath>
      <w:r>
        <w:t xml:space="preserve">) based on the highest long-term momentum values. Only stocks that met both momentum criteria and passed the market condition filter </w:t>
      </w:r>
      <m:oMath>
        <m:r>
          <w:rPr>
            <w:rFonts w:ascii="Cambria Math" w:hAnsi="Cambria Math"/>
          </w:rPr>
          <m:t>Φ</m:t>
        </m:r>
        <m:r>
          <m:rPr>
            <m:sty m:val="p"/>
          </m:rPr>
          <w:rPr>
            <w:rFonts w:ascii="Cambria Math" w:hAnsi="Cambria Math"/>
          </w:rPr>
          <m:t>&gt;</m:t>
        </m:r>
        <m:r>
          <w:rPr>
            <w:rFonts w:ascii="Cambria Math" w:hAnsi="Cambria Math"/>
          </w:rPr>
          <m:t>0.5</m:t>
        </m:r>
      </m:oMath>
      <w:r>
        <w:t xml:space="preserve"> were included, and each selected stock received an equal weight of 10%.</w:t>
      </w:r>
    </w:p>
    <w:p w14:paraId="0BE0B838" w14:textId="77777777" w:rsidR="007E72B2" w:rsidRDefault="00000000">
      <w:pPr>
        <w:pStyle w:val="TableCaption"/>
      </w:pPr>
      <w:bookmarkStart w:id="5" w:name="results"/>
      <w:bookmarkEnd w:id="4"/>
      <w:r>
        <w:t>Backtest Performance Metrics</w:t>
      </w:r>
    </w:p>
    <w:tbl>
      <w:tblPr>
        <w:tblStyle w:val="Table"/>
        <w:tblW w:w="0" w:type="auto"/>
        <w:jc w:val="center"/>
        <w:tblLook w:val="0020" w:firstRow="1" w:lastRow="0" w:firstColumn="0" w:lastColumn="0" w:noHBand="0" w:noVBand="0"/>
      </w:tblPr>
      <w:tblGrid>
        <w:gridCol w:w="2740"/>
        <w:gridCol w:w="842"/>
      </w:tblGrid>
      <w:tr w:rsidR="007E72B2" w14:paraId="0BE0B83B" w14:textId="77777777" w:rsidTr="00F544A2">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0BE0B839" w14:textId="77777777" w:rsidR="007E72B2" w:rsidRDefault="00000000">
            <w:pPr>
              <w:pStyle w:val="Compact"/>
            </w:pPr>
            <w:r>
              <w:rPr>
                <w:b/>
                <w:bCs/>
              </w:rPr>
              <w:t>Metric</w:t>
            </w:r>
          </w:p>
        </w:tc>
        <w:tc>
          <w:tcPr>
            <w:tcW w:w="0" w:type="auto"/>
          </w:tcPr>
          <w:p w14:paraId="0BE0B83A" w14:textId="77777777" w:rsidR="007E72B2" w:rsidRDefault="00000000">
            <w:pPr>
              <w:pStyle w:val="Compact"/>
            </w:pPr>
            <w:r>
              <w:rPr>
                <w:b/>
                <w:bCs/>
              </w:rPr>
              <w:t>Value</w:t>
            </w:r>
          </w:p>
        </w:tc>
      </w:tr>
      <w:tr w:rsidR="007E72B2" w14:paraId="0BE0B83E" w14:textId="77777777" w:rsidTr="00F544A2">
        <w:trPr>
          <w:jc w:val="center"/>
        </w:trPr>
        <w:tc>
          <w:tcPr>
            <w:tcW w:w="0" w:type="auto"/>
          </w:tcPr>
          <w:p w14:paraId="0BE0B83C" w14:textId="77777777" w:rsidR="007E72B2" w:rsidRDefault="00000000">
            <w:pPr>
              <w:pStyle w:val="Compact"/>
            </w:pPr>
            <w:r>
              <w:t>Annualized Return</w:t>
            </w:r>
          </w:p>
        </w:tc>
        <w:tc>
          <w:tcPr>
            <w:tcW w:w="0" w:type="auto"/>
          </w:tcPr>
          <w:p w14:paraId="0BE0B83D" w14:textId="12AD78C9" w:rsidR="007E72B2" w:rsidRDefault="00D955E2">
            <w:pPr>
              <w:pStyle w:val="Compact"/>
            </w:pPr>
            <w:r>
              <w:t>33</w:t>
            </w:r>
            <w:r w:rsidR="00000000">
              <w:t>%</w:t>
            </w:r>
          </w:p>
        </w:tc>
      </w:tr>
      <w:tr w:rsidR="007E72B2" w14:paraId="0BE0B841" w14:textId="77777777" w:rsidTr="00F544A2">
        <w:trPr>
          <w:jc w:val="center"/>
        </w:trPr>
        <w:tc>
          <w:tcPr>
            <w:tcW w:w="0" w:type="auto"/>
          </w:tcPr>
          <w:p w14:paraId="0BE0B83F" w14:textId="77777777" w:rsidR="007E72B2" w:rsidRDefault="00000000">
            <w:pPr>
              <w:pStyle w:val="Compact"/>
            </w:pPr>
            <w:r>
              <w:t>Annualized Volatility</w:t>
            </w:r>
          </w:p>
        </w:tc>
        <w:tc>
          <w:tcPr>
            <w:tcW w:w="0" w:type="auto"/>
          </w:tcPr>
          <w:p w14:paraId="0BE0B840" w14:textId="086AC5F3" w:rsidR="007E72B2" w:rsidRDefault="00D955E2">
            <w:pPr>
              <w:pStyle w:val="Compact"/>
            </w:pPr>
            <w:r>
              <w:t>27</w:t>
            </w:r>
            <w:r w:rsidR="00B54466">
              <w:t>%</w:t>
            </w:r>
          </w:p>
        </w:tc>
      </w:tr>
      <w:tr w:rsidR="007E72B2" w14:paraId="0BE0B844" w14:textId="77777777" w:rsidTr="00F544A2">
        <w:trPr>
          <w:jc w:val="center"/>
        </w:trPr>
        <w:tc>
          <w:tcPr>
            <w:tcW w:w="0" w:type="auto"/>
          </w:tcPr>
          <w:p w14:paraId="0BE0B842" w14:textId="77777777" w:rsidR="007E72B2" w:rsidRDefault="00000000">
            <w:pPr>
              <w:pStyle w:val="Compact"/>
            </w:pPr>
            <w:r>
              <w:t>Annualized Sharpe Ratio</w:t>
            </w:r>
          </w:p>
        </w:tc>
        <w:tc>
          <w:tcPr>
            <w:tcW w:w="0" w:type="auto"/>
          </w:tcPr>
          <w:p w14:paraId="0BE0B843" w14:textId="7AB36800" w:rsidR="007E72B2" w:rsidRDefault="00000000">
            <w:pPr>
              <w:pStyle w:val="Compact"/>
            </w:pPr>
            <w:r>
              <w:t>1.</w:t>
            </w:r>
            <w:r w:rsidR="00D955E2">
              <w:t>22</w:t>
            </w:r>
          </w:p>
        </w:tc>
      </w:tr>
    </w:tbl>
    <w:p w14:paraId="5019F9E8" w14:textId="77777777" w:rsidR="00F544A2" w:rsidRDefault="00F544A2">
      <w:pPr>
        <w:pStyle w:val="Corpsdetexte"/>
      </w:pPr>
    </w:p>
    <w:p w14:paraId="0BE0B845" w14:textId="188F4A99" w:rsidR="007E72B2" w:rsidRDefault="00F544A2" w:rsidP="00F544A2">
      <w:r>
        <w:br w:type="page"/>
      </w:r>
      <w:r w:rsidRPr="001F05B4">
        <w:rPr>
          <w:i/>
        </w:rPr>
        <w:lastRenderedPageBreak/>
        <w:t>Equity Curve (log scale), 1980–2025</w:t>
      </w:r>
      <w:r w:rsidR="000E671D" w:rsidRPr="001F05B4">
        <w:rPr>
          <w:i/>
        </w:rPr>
        <w:t xml:space="preserve"> (45 years)</w:t>
      </w:r>
    </w:p>
    <w:p w14:paraId="0D14603B" w14:textId="2B21CFB9" w:rsidR="00211309" w:rsidRDefault="00D955E2" w:rsidP="00AC7DF1">
      <w:pPr>
        <w:pStyle w:val="Corpsdetexte"/>
        <w:jc w:val="center"/>
      </w:pPr>
      <w:r>
        <w:rPr>
          <w:noProof/>
        </w:rPr>
        <w:drawing>
          <wp:inline distT="0" distB="0" distL="0" distR="0" wp14:anchorId="0C11931F" wp14:editId="5C42E691">
            <wp:extent cx="4653627" cy="3161129"/>
            <wp:effectExtent l="0" t="0" r="0" b="0"/>
            <wp:docPr id="1969758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58323" name="Imag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79962" cy="3179018"/>
                    </a:xfrm>
                    <a:prstGeom prst="rect">
                      <a:avLst/>
                    </a:prstGeom>
                    <a:noFill/>
                  </pic:spPr>
                </pic:pic>
              </a:graphicData>
            </a:graphic>
          </wp:inline>
        </w:drawing>
      </w:r>
    </w:p>
    <w:p w14:paraId="0BE0B846" w14:textId="77777777" w:rsidR="007E72B2" w:rsidRPr="001F05B4" w:rsidRDefault="00000000" w:rsidP="001F05B4">
      <w:pPr>
        <w:rPr>
          <w:i/>
        </w:rPr>
      </w:pPr>
      <w:r w:rsidRPr="001F05B4">
        <w:rPr>
          <w:i/>
        </w:rPr>
        <w:t xml:space="preserve">Evolution of Market Breadth Condition </w:t>
      </w:r>
      <m:oMath>
        <m:r>
          <w:rPr>
            <w:rFonts w:ascii="Cambria Math" w:hAnsi="Cambria Math"/>
          </w:rPr>
          <m:t>Φ</m:t>
        </m:r>
      </m:oMath>
    </w:p>
    <w:p w14:paraId="3B5370A7" w14:textId="7D908030" w:rsidR="0047552C" w:rsidRDefault="00D955E2" w:rsidP="00AC7DF1">
      <w:pPr>
        <w:pStyle w:val="Corpsdetexte"/>
        <w:jc w:val="center"/>
      </w:pPr>
      <w:r>
        <w:rPr>
          <w:noProof/>
        </w:rPr>
        <w:drawing>
          <wp:inline distT="0" distB="0" distL="0" distR="0" wp14:anchorId="69AB303E" wp14:editId="78280B68">
            <wp:extent cx="4749800" cy="3232348"/>
            <wp:effectExtent l="0" t="0" r="0" b="0"/>
            <wp:docPr id="1875132147" name="Image 2" descr="The diagram displays a range of values for the variable Phi, plotted over a timeline from 1980 to 2025, with the values decreasing from 1.00 to -1.00 in 1980, then increasing agai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132147" name="Image 2" descr="The diagram displays a range of values for the variable Phi, plotted over a timeline from 1980 to 2025, with the values decreasing from 1.00 to -1.00 in 1980, then increasing again.&#10;&#10;Le contenu généré par l’IA peut êtr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58434" cy="3238223"/>
                    </a:xfrm>
                    <a:prstGeom prst="rect">
                      <a:avLst/>
                    </a:prstGeom>
                    <a:noFill/>
                    <a:ln>
                      <a:noFill/>
                    </a:ln>
                  </pic:spPr>
                </pic:pic>
              </a:graphicData>
            </a:graphic>
          </wp:inline>
        </w:drawing>
      </w:r>
    </w:p>
    <w:p w14:paraId="0BE0B847" w14:textId="77777777" w:rsidR="007E72B2" w:rsidRDefault="00000000">
      <w:pPr>
        <w:pStyle w:val="Corpsdetexte"/>
      </w:pPr>
      <w:r>
        <w:t>These results highlight the robustness of the strategy over multiple market cycles and confirm the added value of integrating a market-wide momentum condition into the asset selection process.</w:t>
      </w:r>
      <w:bookmarkEnd w:id="2"/>
      <w:bookmarkEnd w:id="5"/>
    </w:p>
    <w:sectPr w:rsidR="007E72B2">
      <w:pgSz w:w="12240" w:h="15840"/>
      <w:pgMar w:top="1417" w:right="1417" w:bottom="1417" w:left="14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10164" w14:textId="77777777" w:rsidR="000B1FEE" w:rsidRDefault="000B1FEE">
      <w:pPr>
        <w:spacing w:after="0"/>
      </w:pPr>
      <w:r>
        <w:separator/>
      </w:r>
    </w:p>
  </w:endnote>
  <w:endnote w:type="continuationSeparator" w:id="0">
    <w:p w14:paraId="46A21C07" w14:textId="77777777" w:rsidR="000B1FEE" w:rsidRDefault="000B1FE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8CF7F" w14:textId="77777777" w:rsidR="000B1FEE" w:rsidRDefault="000B1FEE">
      <w:r>
        <w:separator/>
      </w:r>
    </w:p>
  </w:footnote>
  <w:footnote w:type="continuationSeparator" w:id="0">
    <w:p w14:paraId="50962D15" w14:textId="77777777" w:rsidR="000B1FEE" w:rsidRDefault="000B1F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8E04BE66"/>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4D08A9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201"/>
    <w:multiLevelType w:val="multilevel"/>
    <w:tmpl w:val="A880A440"/>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 w16cid:durableId="254368837">
    <w:abstractNumId w:val="0"/>
  </w:num>
  <w:num w:numId="2" w16cid:durableId="547189229">
    <w:abstractNumId w:val="1"/>
  </w:num>
  <w:num w:numId="3" w16cid:durableId="19468855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2473221">
    <w:abstractNumId w:val="1"/>
  </w:num>
  <w:num w:numId="5" w16cid:durableId="5282951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7E72B2"/>
    <w:rsid w:val="000B1FEE"/>
    <w:rsid w:val="000E671D"/>
    <w:rsid w:val="001F05B4"/>
    <w:rsid w:val="00211309"/>
    <w:rsid w:val="0047552C"/>
    <w:rsid w:val="004A1C8D"/>
    <w:rsid w:val="004A2583"/>
    <w:rsid w:val="007E72B2"/>
    <w:rsid w:val="00A602BC"/>
    <w:rsid w:val="00A92CB8"/>
    <w:rsid w:val="00AC7DF1"/>
    <w:rsid w:val="00B54466"/>
    <w:rsid w:val="00D4484C"/>
    <w:rsid w:val="00D955E2"/>
    <w:rsid w:val="00DB64EC"/>
    <w:rsid w:val="00E00D68"/>
    <w:rsid w:val="00E119E2"/>
    <w:rsid w:val="00E20CDF"/>
    <w:rsid w:val="00E659E7"/>
    <w:rsid w:val="00E85E38"/>
    <w:rsid w:val="00F544A2"/>
    <w:rsid w:val="00F76502"/>
    <w:rsid w:val="00FC389A"/>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0B818"/>
  <w15:docId w15:val="{17AE40DF-3D00-409F-A776-D3717970F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itre5">
    <w:name w:val="heading 5"/>
    <w:basedOn w:val="Normal"/>
    <w:next w:val="Corpsdetex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itre7">
    <w:name w:val="heading 7"/>
    <w:basedOn w:val="Normal"/>
    <w:next w:val="Corpsdetex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itre8">
    <w:name w:val="heading 8"/>
    <w:basedOn w:val="Normal"/>
    <w:next w:val="Corpsdetex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itre9">
    <w:name w:val="heading 9"/>
    <w:basedOn w:val="Normal"/>
    <w:next w:val="Corpsdetex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style>
  <w:style w:type="character" w:styleId="Appelnotedebasdep">
    <w:name w:val="footnote reference"/>
    <w:basedOn w:val="LgendeCar"/>
    <w:rPr>
      <w:vertAlign w:val="superscript"/>
    </w:rPr>
  </w:style>
  <w:style w:type="character" w:styleId="Lienhypertexte">
    <w:name w:val="Hyperlink"/>
    <w:basedOn w:val="LgendeCar"/>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536</Words>
  <Characters>3168</Characters>
  <Application>Microsoft Office Word</Application>
  <DocSecurity>0</DocSecurity>
  <Lines>73</Lines>
  <Paragraphs>50</Paragraphs>
  <ScaleCrop>false</ScaleCrop>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Momentum-Based Equity Trading Strategy</dc:title>
  <dc:creator>Denis Laurichesse</dc:creator>
  <cp:keywords/>
  <cp:lastModifiedBy>denis laurichesse</cp:lastModifiedBy>
  <cp:revision>16</cp:revision>
  <dcterms:created xsi:type="dcterms:W3CDTF">2025-04-21T15:49:00Z</dcterms:created>
  <dcterms:modified xsi:type="dcterms:W3CDTF">2026-02-10T16:15:00Z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ies>
</file>