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Nested tuning separates tensor truncation from sparse-recovery error</w:t>
      </w:r>
    </w:p>
    <w:p>
      <w:pPr>
        <w:pStyle w:val="ListBullet"/>
      </w:pPr>
      <w:r>
        <w:t>Shared spatial factors help when property coefficients remain independent</w:t>
      </w:r>
    </w:p>
    <w:p>
      <w:pPr>
        <w:pStyle w:val="ListBullet"/>
      </w:pPr>
      <w:r>
        <w:t>Matched 3D–4D comparisons retain negative and metric-dependent results</w:t>
      </w:r>
    </w:p>
    <w:p>
      <w:pPr>
        <w:pStyle w:val="ListBullet"/>
      </w:pPr>
      <w:r>
        <w:t>POD-E retains the lowest errors at all existing joint-property wells</w:t>
      </w:r>
    </w:p>
    <w:p>
      <w:pPr>
        <w:pStyle w:val="ListBullet"/>
      </w:pPr>
      <w:r>
        <w:t>Tensor models offer conditional accuracy and storage trade-offs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Brugge sparse reconstruction highlights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