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Subtitle"/>
        <w:spacing w:after="0" w:lineRule="auto"/>
        <w:rPr/>
      </w:pPr>
      <w:bookmarkStart w:colFirst="0" w:colLast="0" w:name="_sosbcs8g190p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spacing w:after="0" w:lineRule="auto"/>
        <w:rPr/>
      </w:pPr>
      <w:bookmarkStart w:colFirst="0" w:colLast="0" w:name="_svcfix8654ow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spacing w:after="0" w:lineRule="auto"/>
        <w:rPr/>
      </w:pPr>
      <w:bookmarkStart w:colFirst="0" w:colLast="0" w:name="_qmnw276u5h23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Subtitle"/>
        <w:spacing w:after="0" w:lineRule="auto"/>
        <w:rPr/>
      </w:pPr>
      <w:bookmarkStart w:colFirst="0" w:colLast="0" w:name="_qeidn9mti3ho" w:id="3"/>
      <w:bookmarkEnd w:id="3"/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224372" cy="143158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100"/>
                          <a:ext cx="224372" cy="143158"/>
                          <a:chOff x="0" y="100"/>
                          <a:chExt cx="4646375" cy="296040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0" y="152400"/>
                            <a:ext cx="2702700" cy="2702700"/>
                          </a:xfrm>
                          <a:prstGeom prst="ellipse">
                            <a:avLst/>
                          </a:prstGeom>
                          <a:solidFill>
                            <a:srgbClr val="6339E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1590875" y="100"/>
                            <a:ext cx="3055500" cy="2960400"/>
                          </a:xfrm>
                          <a:prstGeom prst="diamond">
                            <a:avLst/>
                          </a:prstGeom>
                          <a:solidFill>
                            <a:srgbClr val="B5A6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224372" cy="143158"/>
                <wp:effectExtent b="0" l="0" r="0" t="0"/>
                <wp:docPr id="1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4372" cy="14315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Основы управления продуктом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rPr/>
      </w:pPr>
      <w:bookmarkStart w:colFirst="0" w:colLast="0" w:name="_yhczwoah42t2" w:id="4"/>
      <w:bookmarkEnd w:id="4"/>
      <w:r w:rsidDel="00000000" w:rsidR="00000000" w:rsidRPr="00000000">
        <w:rPr>
          <w:rtl w:val="0"/>
        </w:rPr>
        <w:t xml:space="preserve">Базовые</w:t>
      </w:r>
      <w:r w:rsidDel="00000000" w:rsidR="00000000" w:rsidRPr="00000000">
        <w:rPr>
          <w:color w:val="ffffff"/>
          <w:sz w:val="104"/>
          <w:szCs w:val="104"/>
          <w:shd w:fill="auto" w:val="clear"/>
          <w:rtl w:val="0"/>
        </w:rPr>
        <w:t xml:space="preserve"> </w:t>
      </w:r>
      <w:r w:rsidDel="00000000" w:rsidR="00000000" w:rsidRPr="00000000">
        <w:rPr>
          <w:rtl w:val="0"/>
        </w:rPr>
        <w:t xml:space="preserve">продуктовые метрики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Subtitle"/>
        <w:rPr/>
      </w:pPr>
      <w:bookmarkStart w:colFirst="0" w:colLast="0" w:name="_aaforaah69vo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Subtitle"/>
        <w:rPr/>
      </w:pPr>
      <w:bookmarkStart w:colFirst="0" w:colLast="0" w:name="_d5l0vrd1i27m" w:id="6"/>
      <w:bookmarkEnd w:id="6"/>
      <w:r w:rsidDel="00000000" w:rsidR="00000000" w:rsidRPr="00000000">
        <w:rPr/>
        <w:drawing>
          <wp:anchor allowOverlap="1" behindDoc="0" distB="0" distT="0" distL="0" distR="0" hidden="0" layoutInCell="1" locked="0" relativeHeight="0" simplePos="0">
            <wp:simplePos x="0" y="0"/>
            <wp:positionH relativeFrom="margin">
              <wp:posOffset>-785624</wp:posOffset>
            </wp:positionH>
            <wp:positionV relativeFrom="margin">
              <wp:posOffset>3206025</wp:posOffset>
            </wp:positionV>
            <wp:extent cx="7605397" cy="6653400"/>
            <wp:effectExtent b="0" l="0" r="0" t="0"/>
            <wp:wrapSquare wrapText="bothSides" distB="0" distT="0" distL="0" distR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05397" cy="6653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Subtitle"/>
        <w:rPr/>
      </w:pPr>
      <w:bookmarkStart w:colFirst="0" w:colLast="0" w:name="_xptoffhe052e" w:id="7"/>
      <w:bookmarkEnd w:id="7"/>
      <w:r w:rsidDel="00000000" w:rsidR="00000000" w:rsidRPr="00000000">
        <w:rPr>
          <w:rtl w:val="0"/>
        </w:rPr>
        <w:t xml:space="preserve">На этом уроке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9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Обсудим что такое продуктовые метрики и как с ними работать</w:t>
      </w:r>
    </w:p>
    <w:p w:rsidR="00000000" w:rsidDel="00000000" w:rsidP="00000000" w:rsidRDefault="00000000" w:rsidRPr="00000000" w14:paraId="0000000A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Рассмотрим основные продуктовые метрики</w:t>
      </w:r>
    </w:p>
    <w:p w:rsidR="00000000" w:rsidDel="00000000" w:rsidP="00000000" w:rsidRDefault="00000000" w:rsidRPr="00000000" w14:paraId="0000000B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Научимся отслеживать продуктовые метрики и не совершать при этом частых ошибок</w:t>
      </w:r>
    </w:p>
    <w:p w:rsidR="00000000" w:rsidDel="00000000" w:rsidP="00000000" w:rsidRDefault="00000000" w:rsidRPr="00000000" w14:paraId="0000000C">
      <w:pPr>
        <w:pStyle w:val="Heading1"/>
        <w:spacing w:before="200" w:lineRule="auto"/>
        <w:rPr/>
      </w:pPr>
      <w:bookmarkStart w:colFirst="0" w:colLast="0" w:name="_9n5nf9qx0jsf" w:id="8"/>
      <w:bookmarkEnd w:id="8"/>
      <w:r w:rsidDel="00000000" w:rsidR="00000000" w:rsidRPr="00000000">
        <w:rPr>
          <w:rtl w:val="0"/>
        </w:rPr>
        <w:t xml:space="preserve">Глоссарий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LTV (Life Time Value) — совокупная прибыль компании, получаемая от одного клиента за все время сотрудничества с ним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C1 — конверсия в первую покупку (отношение количества покупателей, совершивших первую покупку, к числу всех пользователей, которые пришли в продукт впервые)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С2 — конверсия во вторую покупку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CAC (Customer Acquisition Cost) — стоимость привлечения клиента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CPA (Cost per Action) — стоимость какого-то действия клиента (например заход на страницу)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AOV (Average Order Value) — средний чек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Retention — удержание клиентов, измеряется в процентах от начального количества. Показатель, отвечающий на вопрос: ”Сколько клиентов со мной остается на n-ый день/месяц/покупку и т.д.”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DAU (Daily Active Users) — величина дневной активной аудитории 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GMV (Gross Merchendise Volume) — общий объем оборота рынка/сервиса. 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ARPU (Average Revenue per User) — совокупная прибыль компании, получаемая от одного клиента за определенный период времени (обычно, месяц)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ARPPU (Average Revenue per Paying User) — совокупная прибыль компании, получаемая от одного платящего клиента за определенный период времени (обычно, месяц)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Когорта — Группа пользователей, имеющих что-то общее между собой. Чаще всего - они набраны в сервис в один день/месяц/год и т.д.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COGS (Cost of Goods Sold) — себестоимость продукта (стоимость его производства)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OPEX (Operational Expenses) — операционные затраты (те, которые растут пропорционально росту бизнеса)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Gross profit margin — Прибыль бизнеса</w:t>
      </w:r>
    </w:p>
    <w:p w:rsidR="00000000" w:rsidDel="00000000" w:rsidP="00000000" w:rsidRDefault="00000000" w:rsidRPr="00000000" w14:paraId="0000001C">
      <w:pPr>
        <w:pStyle w:val="Heading1"/>
        <w:rPr/>
      </w:pPr>
      <w:bookmarkStart w:colFirst="0" w:colLast="0" w:name="_9iez8aoj3utn" w:id="9"/>
      <w:bookmarkEnd w:id="9"/>
      <w:r w:rsidDel="00000000" w:rsidR="00000000" w:rsidRPr="00000000">
        <w:rPr>
          <w:rtl w:val="0"/>
        </w:rPr>
        <w:t xml:space="preserve">Продуктовые метрики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“You are what you measure” гласит известная в Силиконовой Долине поговорка. Выбор показателей продукта, за которыми необходимо следить - это основа бизнеса. 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Метрика — это качественный или количественный показатель, который отражает ту или иную характеристику и уровень успешности продукта.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Согласно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исследованию</w:t>
        </w:r>
      </w:hyperlink>
      <w:r w:rsidDel="00000000" w:rsidR="00000000" w:rsidRPr="00000000">
        <w:rPr>
          <w:rtl w:val="0"/>
        </w:rPr>
        <w:t xml:space="preserve">, проведенному аналитической компанией CB Insights, самая распространенная причина - рынок не нуждается в продукте (отсутствует product/market fit). Вторая же самая распространенная причина - у компании заканчиваются деньги на этапе реализации проектов. Как делать продукты, соответствующие критерию востребованности на рынке, мы обсудили ранее, теперь же необходимо сосредоточиться на том, как научиться анализировать продукт, его пользователей и экономические показатели, чтобы начать зарабатывать деньги. 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Для менеджера проекта важно уметь правильно реагировать на то, как работает сам продукт:  получать обратную связь об изменении ключевых метрик и форсировать внедрение эффективных изменения, позволяющих улучшить результат. 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Для этого метрики должны быть выбраны правильно и отражать реальное состояние бизнеса.</w:t>
      </w:r>
    </w:p>
    <w:p w:rsidR="00000000" w:rsidDel="00000000" w:rsidP="00000000" w:rsidRDefault="00000000" w:rsidRPr="00000000" w14:paraId="00000022">
      <w:pPr>
        <w:pStyle w:val="Heading1"/>
        <w:rPr/>
      </w:pPr>
      <w:bookmarkStart w:colFirst="0" w:colLast="0" w:name="_odoc5vc52nqz" w:id="10"/>
      <w:bookmarkEnd w:id="10"/>
      <w:r w:rsidDel="00000000" w:rsidR="00000000" w:rsidRPr="00000000">
        <w:rPr>
          <w:rtl w:val="0"/>
        </w:rPr>
        <w:t xml:space="preserve">Применение метрик в работе с продуктом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Метрика, сама по себе, это просто число, которое вне контекста не несет особого смысла, пользу от взаимодействия с ней можно получить только в динамике: выделить определенный промежуток времени и проанализировать, как изменялось значение выбранного показателя, что происходило с другими и какие причины могли вызвать соответствующие изменения. Метрики очень тесно переплетены с целями компании, и при выборе соответствующих для своего продукта, вам необходимо определиться с целью - повысить ли лояльность пользователей, увеличить количество транзакций или же сосредоточиться на прибыли/получении инвестиций. 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Также критически важно не просто считать метрики, а выбирать, что вы будете делать с полученной информацией, как именно дальше принимать продуктовые решения. В продуктовой разработке в соответствие с метриками есть два ключевых подхода: </w:t>
      </w:r>
    </w:p>
    <w:p w:rsidR="00000000" w:rsidDel="00000000" w:rsidP="00000000" w:rsidRDefault="00000000" w:rsidRPr="00000000" w14:paraId="00000025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Data-driven 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Решения принимаются постфактум - сначала снимается статистика по метрикам и только после этого формулируется и принимается продуктовое решение. Полученные значения по метрикам, которые выбирает команда продукта - это основное, что учитывается в планировании дальнейших работ. </w:t>
      </w:r>
    </w:p>
    <w:p w:rsidR="00000000" w:rsidDel="00000000" w:rsidP="00000000" w:rsidRDefault="00000000" w:rsidRPr="00000000" w14:paraId="00000027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Data-informed 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Полученные метрики оказывают влияние на принятие решений, но только частично, и их можно не учитывать от случая к случаю. Однако этот подход не исключает множества сторонних факторов, которые могут оказывать существенное влияние на процесс принятия решений, например проведение качественных исследований и полученные инсайты, стратегические цели вашего бизнеса, интересы определенных подразделений. 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Data-driven подход хорош в задачах оптимизации, но если в определенный момент оптимизационных подход уже не приносит ожидаемых результатов или в принципе становится неприменим, то используйте data-informed (данные становятся лишь один из факторов среди прочих). 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Общая схема использования метрик примерно следующая: </w:t>
      </w:r>
    </w:p>
    <w:p w:rsidR="00000000" w:rsidDel="00000000" w:rsidP="00000000" w:rsidRDefault="00000000" w:rsidRPr="00000000" w14:paraId="0000002B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Измерить имеющиеся количественные показатели, оценить, возможно, с привлечением экспертов качественные </w:t>
      </w:r>
    </w:p>
    <w:p w:rsidR="00000000" w:rsidDel="00000000" w:rsidP="00000000" w:rsidRDefault="00000000" w:rsidRPr="00000000" w14:paraId="0000002C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Свести полученные значения в формат единого дашборда, чтобы видеть картину целиком </w:t>
      </w:r>
    </w:p>
    <w:p w:rsidR="00000000" w:rsidDel="00000000" w:rsidP="00000000" w:rsidRDefault="00000000" w:rsidRPr="00000000" w14:paraId="0000002D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Устанавливаем определенную периодичность, чтобы понимать динамику</w:t>
      </w:r>
    </w:p>
    <w:p w:rsidR="00000000" w:rsidDel="00000000" w:rsidP="00000000" w:rsidRDefault="00000000" w:rsidRPr="00000000" w14:paraId="0000002E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получив представление о “базовом” состоянии систем, решаем, как ее использовать дальше: проводить ли эксперименты, влияя на пользовательский опыт, или же оставляем все как есть </w:t>
      </w:r>
    </w:p>
    <w:p w:rsidR="00000000" w:rsidDel="00000000" w:rsidP="00000000" w:rsidRDefault="00000000" w:rsidRPr="00000000" w14:paraId="0000002F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Регулярно отслеживаем метрики, реагируя на все существенные изменения и отклонения в “базовом” состоянии</w:t>
      </w:r>
    </w:p>
    <w:p w:rsidR="00000000" w:rsidDel="00000000" w:rsidP="00000000" w:rsidRDefault="00000000" w:rsidRPr="00000000" w14:paraId="00000030">
      <w:pPr>
        <w:pStyle w:val="Heading1"/>
        <w:widowControl w:val="0"/>
        <w:spacing w:after="0" w:before="0" w:line="240" w:lineRule="auto"/>
        <w:rPr/>
      </w:pPr>
      <w:bookmarkStart w:colFirst="0" w:colLast="0" w:name="_k52tahy454qe" w:id="11"/>
      <w:bookmarkEnd w:id="11"/>
      <w:r w:rsidDel="00000000" w:rsidR="00000000" w:rsidRPr="00000000">
        <w:rPr>
          <w:rtl w:val="0"/>
        </w:rPr>
        <w:t xml:space="preserve">AAARRR-воронка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Начнем рассматривать метрики продукта с классической  AAARRR-воронки. </w:t>
      </w:r>
      <w:hyperlink r:id="rId9">
        <w:r w:rsidDel="00000000" w:rsidR="00000000" w:rsidRPr="00000000">
          <w:rPr>
            <w:color w:val="fc2c38"/>
            <w:u w:val="single"/>
            <w:rtl w:val="0"/>
          </w:rPr>
          <w:t xml:space="preserve">Согласно исследованию</w:t>
        </w:r>
      </w:hyperlink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90% интернет-магазинов рушатся в течение первых 120 дней из-за проблем на уровне привлечения пользователей в продукт, более трети из основателей отмечают,  что основными причинами неудач стали неэффективные каналы продвижения.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AAARRR-воронка — это маркетинговая воронка, описывающая основные этапы взаимодействия клиента с продуктом и позволяющая оценивать метрики продукта и привлечения в продукт. Инструмент впервые был предложен Дейвом МакКлюром, инвестором венчурного фонда 500 Startups, в 2007 году, и представляет собой систему метрик, позволяющих компании отслеживать конверсию пользователей в продукт. По этой системе можно определять, насколько успешен продукт в аспекте привлечения и удержания клиентов: сколько из них доходит до совершения покупки, впервые попав на сайт. Этапы в воронке могут различаться, это зависит от того, учитываете ли вы этап Awareness - усилий по информированию пользователя на свой ресурс, или начинаете сразу с Acquisition - привлечения. </w:t>
      </w:r>
    </w:p>
    <w:p w:rsidR="00000000" w:rsidDel="00000000" w:rsidP="00000000" w:rsidRDefault="00000000" w:rsidRPr="00000000" w14:paraId="00000033">
      <w:pPr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  <w:t xml:space="preserve">Распишем поэтапно, учитывая условный нулевой этап Awareness: </w:t>
      </w:r>
      <w:r w:rsidDel="00000000" w:rsidR="00000000" w:rsidRPr="00000000">
        <w:rPr>
          <w:rtl w:val="0"/>
        </w:rPr>
      </w:r>
    </w:p>
    <w:tbl>
      <w:tblPr>
        <w:tblStyle w:val="Table1"/>
        <w:tblW w:w="9375.0" w:type="dxa"/>
        <w:jc w:val="left"/>
        <w:tblInd w:w="100.0" w:type="pc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420"/>
      </w:tblPr>
      <w:tblGrid>
        <w:gridCol w:w="1560"/>
        <w:gridCol w:w="4995"/>
        <w:gridCol w:w="2820"/>
        <w:tblGridChange w:id="0">
          <w:tblGrid>
            <w:gridCol w:w="1560"/>
            <w:gridCol w:w="4995"/>
            <w:gridCol w:w="2820"/>
          </w:tblGrid>
        </w:tblGridChange>
      </w:tblGrid>
      <w:tr>
        <w:trPr>
          <w:cantSplit w:val="0"/>
          <w:trHeight w:val="510" w:hRule="atLeast"/>
          <w:tblHeader w:val="0"/>
        </w:trPr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efefef" w:val="clear"/>
            <w:tcMar>
              <w:top w:w="60.0" w:type="dxa"/>
              <w:left w:w="100.0" w:type="dxa"/>
              <w:bottom w:w="6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after="0" w:before="0" w:line="240" w:lineRule="auto"/>
              <w:jc w:val="center"/>
              <w:rPr>
                <w:rFonts w:ascii="IBM Plex Sans" w:cs="IBM Plex Sans" w:eastAsia="IBM Plex Sans" w:hAnsi="IBM Plex Sans"/>
                <w:color w:val="000000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000000"/>
                <w:rtl w:val="0"/>
              </w:rPr>
              <w:t xml:space="preserve">Шаг воронки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efefef" w:val="clear"/>
            <w:tcMar>
              <w:top w:w="60.0" w:type="dxa"/>
              <w:left w:w="100.0" w:type="dxa"/>
              <w:bottom w:w="6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after="0" w:before="0" w:line="240" w:lineRule="auto"/>
              <w:jc w:val="center"/>
              <w:rPr>
                <w:rFonts w:ascii="IBM Plex Sans" w:cs="IBM Plex Sans" w:eastAsia="IBM Plex Sans" w:hAnsi="IBM Plex Sans"/>
                <w:color w:val="000000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000000"/>
                <w:rtl w:val="0"/>
              </w:rPr>
              <w:t xml:space="preserve">Описание шага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efefef" w:val="clear"/>
            <w:tcMar>
              <w:top w:w="60.0" w:type="dxa"/>
              <w:left w:w="100.0" w:type="dxa"/>
              <w:bottom w:w="6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pacing w:after="0" w:before="0" w:line="240" w:lineRule="auto"/>
              <w:jc w:val="center"/>
              <w:rPr>
                <w:rFonts w:ascii="IBM Plex Sans" w:cs="IBM Plex Sans" w:eastAsia="IBM Plex Sans" w:hAnsi="IBM Plex Sans"/>
                <w:color w:val="000000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000000"/>
                <w:rtl w:val="0"/>
              </w:rPr>
              <w:t xml:space="preserve">Примеры  метрик шага</w:t>
            </w:r>
          </w:p>
        </w:tc>
      </w:tr>
      <w:tr>
        <w:trPr>
          <w:cantSplit w:val="0"/>
          <w:trHeight w:val="820" w:hRule="atLeast"/>
          <w:tblHeader w:val="0"/>
        </w:trPr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auto" w:val="clear"/>
            <w:tcMar>
              <w:top w:w="60.0" w:type="dxa"/>
              <w:left w:w="100.0" w:type="dxa"/>
              <w:bottom w:w="6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rPr>
                <w:rFonts w:ascii="IBM Plex Sans" w:cs="IBM Plex Sans" w:eastAsia="IBM Plex Sans" w:hAnsi="IBM Plex Sans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2c2d30"/>
                <w:rtl w:val="0"/>
              </w:rPr>
              <w:t xml:space="preserve">Awareness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auto" w:val="clear"/>
            <w:tcMar>
              <w:top w:w="60.0" w:type="dxa"/>
              <w:left w:w="100.0" w:type="dxa"/>
              <w:bottom w:w="6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ind w:left="0" w:firstLine="0"/>
              <w:rPr>
                <w:rFonts w:ascii="IBM Plex Sans" w:cs="IBM Plex Sans" w:eastAsia="IBM Plex Sans" w:hAnsi="IBM Plex Sans"/>
                <w:color w:val="2c2d30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2c2d30"/>
                <w:rtl w:val="0"/>
              </w:rPr>
              <w:t xml:space="preserve">Информирование</w:t>
            </w:r>
          </w:p>
          <w:p w:rsidR="00000000" w:rsidDel="00000000" w:rsidP="00000000" w:rsidRDefault="00000000" w:rsidRPr="00000000" w14:paraId="00000039">
            <w:pPr>
              <w:ind w:left="0" w:firstLine="0"/>
              <w:rPr>
                <w:rFonts w:ascii="IBM Plex Sans" w:cs="IBM Plex Sans" w:eastAsia="IBM Plex Sans" w:hAnsi="IBM Plex Sans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2c2d30"/>
                <w:rtl w:val="0"/>
              </w:rPr>
              <w:t xml:space="preserve">Клиент только узнал о вашем продукте и впервые попал на ваш сайт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auto" w:val="clear"/>
            <w:tcMar>
              <w:top w:w="60.0" w:type="dxa"/>
              <w:left w:w="100.0" w:type="dxa"/>
              <w:bottom w:w="6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spacing w:after="220" w:before="0" w:line="240" w:lineRule="auto"/>
              <w:ind w:left="0" w:firstLine="0"/>
              <w:rPr>
                <w:rFonts w:ascii="IBM Plex Sans" w:cs="IBM Plex Sans" w:eastAsia="IBM Plex Sans" w:hAnsi="IBM Plex Sans"/>
                <w:color w:val="1a1a1a"/>
                <w:sz w:val="30"/>
                <w:szCs w:val="30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rtl w:val="0"/>
              </w:rPr>
              <w:t xml:space="preserve">B</w:t>
            </w:r>
            <w:r w:rsidDel="00000000" w:rsidR="00000000" w:rsidRPr="00000000">
              <w:rPr>
                <w:rFonts w:ascii="IBM Plex Sans" w:cs="IBM Plex Sans" w:eastAsia="IBM Plex Sans" w:hAnsi="IBM Plex Sans"/>
                <w:rtl w:val="0"/>
              </w:rPr>
              <w:t xml:space="preserve">rand awareness (узнаваемость бренда), ad recall (запоминаемость бренда), brand interest (интерес к бренду)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15" w:hRule="atLeast"/>
          <w:tblHeader w:val="0"/>
        </w:trPr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auto" w:val="clear"/>
            <w:tcMar>
              <w:top w:w="60.0" w:type="dxa"/>
              <w:left w:w="100.0" w:type="dxa"/>
              <w:bottom w:w="6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spacing w:after="0" w:before="0" w:line="240" w:lineRule="auto"/>
              <w:rPr>
                <w:rFonts w:ascii="IBM Plex Sans" w:cs="IBM Plex Sans" w:eastAsia="IBM Plex Sans" w:hAnsi="IBM Plex Sans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rtl w:val="0"/>
              </w:rPr>
              <w:t xml:space="preserve">Acquisition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auto" w:val="clear"/>
            <w:tcMar>
              <w:top w:w="60.0" w:type="dxa"/>
              <w:left w:w="100.0" w:type="dxa"/>
              <w:bottom w:w="6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ind w:left="0" w:firstLine="0"/>
              <w:rPr>
                <w:rFonts w:ascii="IBM Plex Sans" w:cs="IBM Plex Sans" w:eastAsia="IBM Plex Sans" w:hAnsi="IBM Plex Sans"/>
                <w:color w:val="2c2d30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2c2d30"/>
                <w:rtl w:val="0"/>
              </w:rPr>
              <w:t xml:space="preserve">Привлечение</w:t>
            </w:r>
          </w:p>
          <w:p w:rsidR="00000000" w:rsidDel="00000000" w:rsidP="00000000" w:rsidRDefault="00000000" w:rsidRPr="00000000" w14:paraId="0000003D">
            <w:pPr>
              <w:ind w:left="0" w:firstLine="0"/>
              <w:rPr>
                <w:rFonts w:ascii="IBM Plex Sans" w:cs="IBM Plex Sans" w:eastAsia="IBM Plex Sans" w:hAnsi="IBM Plex Sans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2c2d30"/>
                <w:rtl w:val="0"/>
              </w:rPr>
              <w:t xml:space="preserve">Клиента заинтересовал ваш продукт и он оставил заявку/свои контактные данные для связи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auto" w:val="clear"/>
            <w:tcMar>
              <w:top w:w="60.0" w:type="dxa"/>
              <w:left w:w="100.0" w:type="dxa"/>
              <w:bottom w:w="6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spacing w:after="0" w:before="0" w:line="240" w:lineRule="auto"/>
              <w:rPr>
                <w:rFonts w:ascii="IBM Plex Sans" w:cs="IBM Plex Sans" w:eastAsia="IBM Plex Sans" w:hAnsi="IBM Plex Sans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rtl w:val="0"/>
              </w:rPr>
              <w:t xml:space="preserve">Installs, visits</w:t>
            </w:r>
          </w:p>
        </w:tc>
      </w:tr>
      <w:tr>
        <w:trPr>
          <w:cantSplit w:val="0"/>
          <w:trHeight w:val="820" w:hRule="atLeast"/>
          <w:tblHeader w:val="0"/>
        </w:trPr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auto" w:val="clear"/>
            <w:tcMar>
              <w:top w:w="60.0" w:type="dxa"/>
              <w:left w:w="100.0" w:type="dxa"/>
              <w:bottom w:w="6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spacing w:after="0" w:before="0" w:line="240" w:lineRule="auto"/>
              <w:rPr>
                <w:rFonts w:ascii="IBM Plex Sans" w:cs="IBM Plex Sans" w:eastAsia="IBM Plex Sans" w:hAnsi="IBM Plex Sans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rtl w:val="0"/>
              </w:rPr>
              <w:t xml:space="preserve">Activation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auto" w:val="clear"/>
            <w:tcMar>
              <w:top w:w="60.0" w:type="dxa"/>
              <w:left w:w="100.0" w:type="dxa"/>
              <w:bottom w:w="6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0">
            <w:pPr>
              <w:ind w:left="0" w:firstLine="0"/>
              <w:rPr>
                <w:rFonts w:ascii="IBM Plex Sans" w:cs="IBM Plex Sans" w:eastAsia="IBM Plex Sans" w:hAnsi="IBM Plex Sans"/>
                <w:color w:val="2c2d30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2c2d30"/>
                <w:rtl w:val="0"/>
              </w:rPr>
              <w:t xml:space="preserve">Активация</w:t>
            </w:r>
          </w:p>
          <w:p w:rsidR="00000000" w:rsidDel="00000000" w:rsidP="00000000" w:rsidRDefault="00000000" w:rsidRPr="00000000" w14:paraId="00000041">
            <w:pPr>
              <w:ind w:left="0" w:firstLine="0"/>
              <w:rPr>
                <w:rFonts w:ascii="IBM Plex Sans" w:cs="IBM Plex Sans" w:eastAsia="IBM Plex Sans" w:hAnsi="IBM Plex Sans"/>
                <w:color w:val="2c2d30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2c2d30"/>
                <w:rtl w:val="0"/>
              </w:rPr>
              <w:t xml:space="preserve">Клиент осознал ценность вашего продукта и начал им пользоваться</w:t>
            </w:r>
          </w:p>
          <w:p w:rsidR="00000000" w:rsidDel="00000000" w:rsidP="00000000" w:rsidRDefault="00000000" w:rsidRPr="00000000" w14:paraId="00000042">
            <w:pPr>
              <w:spacing w:after="0" w:before="0" w:line="240" w:lineRule="auto"/>
              <w:rPr>
                <w:rFonts w:ascii="IBM Plex Sans" w:cs="IBM Plex Sans" w:eastAsia="IBM Plex Sans" w:hAnsi="IBM Plex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auto" w:val="clear"/>
            <w:tcMar>
              <w:top w:w="60.0" w:type="dxa"/>
              <w:left w:w="100.0" w:type="dxa"/>
              <w:bottom w:w="6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spacing w:after="0" w:before="0" w:line="240" w:lineRule="auto"/>
              <w:rPr>
                <w:rFonts w:ascii="IBM Plex Sans" w:cs="IBM Plex Sans" w:eastAsia="IBM Plex Sans" w:hAnsi="IBM Plex Sans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rtl w:val="0"/>
              </w:rPr>
              <w:t xml:space="preserve">Authorization rate, C1</w:t>
            </w:r>
          </w:p>
        </w:tc>
      </w:tr>
      <w:tr>
        <w:trPr>
          <w:cantSplit w:val="0"/>
          <w:trHeight w:val="820" w:hRule="atLeast"/>
          <w:tblHeader w:val="0"/>
        </w:trPr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auto" w:val="clear"/>
            <w:tcMar>
              <w:top w:w="60.0" w:type="dxa"/>
              <w:left w:w="100.0" w:type="dxa"/>
              <w:bottom w:w="6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spacing w:after="0" w:before="0" w:line="240" w:lineRule="auto"/>
              <w:rPr>
                <w:rFonts w:ascii="IBM Plex Sans" w:cs="IBM Plex Sans" w:eastAsia="IBM Plex Sans" w:hAnsi="IBM Plex Sans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rtl w:val="0"/>
              </w:rPr>
              <w:t xml:space="preserve">Retention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auto" w:val="clear"/>
            <w:tcMar>
              <w:top w:w="60.0" w:type="dxa"/>
              <w:left w:w="100.0" w:type="dxa"/>
              <w:bottom w:w="6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5">
            <w:pPr>
              <w:ind w:left="0" w:firstLine="0"/>
              <w:rPr>
                <w:rFonts w:ascii="IBM Plex Sans" w:cs="IBM Plex Sans" w:eastAsia="IBM Plex Sans" w:hAnsi="IBM Plex Sans"/>
                <w:color w:val="2c2d30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2c2d30"/>
                <w:rtl w:val="0"/>
              </w:rPr>
              <w:t xml:space="preserve">Удержание</w:t>
            </w:r>
          </w:p>
          <w:p w:rsidR="00000000" w:rsidDel="00000000" w:rsidP="00000000" w:rsidRDefault="00000000" w:rsidRPr="00000000" w14:paraId="00000046">
            <w:pPr>
              <w:ind w:left="0" w:firstLine="0"/>
              <w:rPr>
                <w:rFonts w:ascii="IBM Plex Sans" w:cs="IBM Plex Sans" w:eastAsia="IBM Plex Sans" w:hAnsi="IBM Plex Sans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2c2d30"/>
                <w:rtl w:val="0"/>
              </w:rPr>
              <w:t xml:space="preserve">Клиент постоянно пользуется вашим продуктом, не уходит к конкурентам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auto" w:val="clear"/>
            <w:tcMar>
              <w:top w:w="60.0" w:type="dxa"/>
              <w:left w:w="100.0" w:type="dxa"/>
              <w:bottom w:w="6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7">
            <w:pPr>
              <w:spacing w:after="0" w:before="0" w:line="240" w:lineRule="auto"/>
              <w:rPr>
                <w:rFonts w:ascii="IBM Plex Sans" w:cs="IBM Plex Sans" w:eastAsia="IBM Plex Sans" w:hAnsi="IBM Plex Sans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rtl w:val="0"/>
              </w:rPr>
              <w:t xml:space="preserve">N-day retention, C2</w:t>
            </w:r>
          </w:p>
        </w:tc>
      </w:tr>
      <w:tr>
        <w:trPr>
          <w:cantSplit w:val="0"/>
          <w:trHeight w:val="820" w:hRule="atLeast"/>
          <w:tblHeader w:val="0"/>
        </w:trPr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auto" w:val="clear"/>
            <w:tcMar>
              <w:top w:w="60.0" w:type="dxa"/>
              <w:left w:w="100.0" w:type="dxa"/>
              <w:bottom w:w="6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spacing w:after="0" w:before="0" w:line="240" w:lineRule="auto"/>
              <w:rPr>
                <w:rFonts w:ascii="IBM Plex Sans" w:cs="IBM Plex Sans" w:eastAsia="IBM Plex Sans" w:hAnsi="IBM Plex Sans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rtl w:val="0"/>
              </w:rPr>
              <w:t xml:space="preserve">Referral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auto" w:val="clear"/>
            <w:tcMar>
              <w:top w:w="60.0" w:type="dxa"/>
              <w:left w:w="100.0" w:type="dxa"/>
              <w:bottom w:w="6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spacing w:after="0" w:before="0" w:line="240" w:lineRule="auto"/>
              <w:rPr>
                <w:rFonts w:ascii="IBM Plex Sans" w:cs="IBM Plex Sans" w:eastAsia="IBM Plex Sans" w:hAnsi="IBM Plex Sans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rtl w:val="0"/>
              </w:rPr>
              <w:t xml:space="preserve">Виральность</w:t>
            </w:r>
          </w:p>
          <w:p w:rsidR="00000000" w:rsidDel="00000000" w:rsidP="00000000" w:rsidRDefault="00000000" w:rsidRPr="00000000" w14:paraId="0000004A">
            <w:pPr>
              <w:ind w:left="0" w:firstLine="0"/>
              <w:rPr>
                <w:rFonts w:ascii="IBM Plex Sans" w:cs="IBM Plex Sans" w:eastAsia="IBM Plex Sans" w:hAnsi="IBM Plex Sans"/>
                <w:color w:val="2c2d30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2c2d30"/>
                <w:rtl w:val="0"/>
              </w:rPr>
              <w:t xml:space="preserve">Клиенту настолько нравится ваш продукт, что он начинает рекомендовать его</w:t>
            </w:r>
          </w:p>
          <w:p w:rsidR="00000000" w:rsidDel="00000000" w:rsidP="00000000" w:rsidRDefault="00000000" w:rsidRPr="00000000" w14:paraId="0000004B">
            <w:pPr>
              <w:spacing w:after="0" w:before="0" w:line="240" w:lineRule="auto"/>
              <w:rPr>
                <w:rFonts w:ascii="IBM Plex Sans" w:cs="IBM Plex Sans" w:eastAsia="IBM Plex Sans" w:hAnsi="IBM Plex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auto" w:val="clear"/>
            <w:tcMar>
              <w:top w:w="60.0" w:type="dxa"/>
              <w:left w:w="100.0" w:type="dxa"/>
              <w:bottom w:w="6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C">
            <w:pPr>
              <w:spacing w:after="0" w:before="0" w:line="240" w:lineRule="auto"/>
              <w:rPr>
                <w:rFonts w:ascii="IBM Plex Sans" w:cs="IBM Plex Sans" w:eastAsia="IBM Plex Sans" w:hAnsi="IBM Plex Sans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rtl w:val="0"/>
              </w:rPr>
              <w:t xml:space="preserve">K-factor </w:t>
            </w:r>
          </w:p>
          <w:p w:rsidR="00000000" w:rsidDel="00000000" w:rsidP="00000000" w:rsidRDefault="00000000" w:rsidRPr="00000000" w14:paraId="0000004D">
            <w:pPr>
              <w:spacing w:after="0" w:before="0" w:line="240" w:lineRule="auto"/>
              <w:rPr>
                <w:rFonts w:ascii="IBM Plex Sans" w:cs="IBM Plex Sans" w:eastAsia="IBM Plex Sans" w:hAnsi="IBM Plex Sans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rtl w:val="0"/>
              </w:rPr>
              <w:t xml:space="preserve">K-factor = Sent invites * Conversion</w:t>
            </w:r>
          </w:p>
        </w:tc>
      </w:tr>
      <w:tr>
        <w:trPr>
          <w:cantSplit w:val="0"/>
          <w:trHeight w:val="820" w:hRule="atLeast"/>
          <w:tblHeader w:val="0"/>
        </w:trPr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auto" w:val="clear"/>
            <w:tcMar>
              <w:top w:w="60.0" w:type="dxa"/>
              <w:left w:w="100.0" w:type="dxa"/>
              <w:bottom w:w="6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spacing w:after="0" w:before="0" w:line="240" w:lineRule="auto"/>
              <w:rPr>
                <w:rFonts w:ascii="IBM Plex Sans" w:cs="IBM Plex Sans" w:eastAsia="IBM Plex Sans" w:hAnsi="IBM Plex Sans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rtl w:val="0"/>
              </w:rPr>
              <w:t xml:space="preserve">Revenue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auto" w:val="clear"/>
            <w:tcMar>
              <w:top w:w="60.0" w:type="dxa"/>
              <w:left w:w="100.0" w:type="dxa"/>
              <w:bottom w:w="6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spacing w:after="0" w:before="0" w:line="240" w:lineRule="auto"/>
              <w:rPr>
                <w:rFonts w:ascii="IBM Plex Sans" w:cs="IBM Plex Sans" w:eastAsia="IBM Plex Sans" w:hAnsi="IBM Plex Sans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rtl w:val="0"/>
              </w:rPr>
              <w:t xml:space="preserve">Доход</w:t>
            </w:r>
          </w:p>
          <w:p w:rsidR="00000000" w:rsidDel="00000000" w:rsidP="00000000" w:rsidRDefault="00000000" w:rsidRPr="00000000" w14:paraId="00000050">
            <w:pPr>
              <w:ind w:left="0" w:firstLine="0"/>
              <w:rPr>
                <w:rFonts w:ascii="IBM Plex Sans" w:cs="IBM Plex Sans" w:eastAsia="IBM Plex Sans" w:hAnsi="IBM Plex Sans"/>
                <w:color w:val="2c2d30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2c2d30"/>
                <w:rtl w:val="0"/>
              </w:rPr>
              <w:t xml:space="preserve">Клиент платит за использование вашего продукта </w:t>
            </w:r>
          </w:p>
          <w:p w:rsidR="00000000" w:rsidDel="00000000" w:rsidP="00000000" w:rsidRDefault="00000000" w:rsidRPr="00000000" w14:paraId="00000051">
            <w:pPr>
              <w:spacing w:after="0" w:before="0" w:line="240" w:lineRule="auto"/>
              <w:rPr>
                <w:rFonts w:ascii="IBM Plex Sans" w:cs="IBM Plex Sans" w:eastAsia="IBM Plex Sans" w:hAnsi="IBM Plex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auto" w:val="clear"/>
            <w:tcMar>
              <w:top w:w="60.0" w:type="dxa"/>
              <w:left w:w="100.0" w:type="dxa"/>
              <w:bottom w:w="6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2">
            <w:pPr>
              <w:spacing w:after="0" w:before="0" w:line="240" w:lineRule="auto"/>
              <w:rPr>
                <w:rFonts w:ascii="IBM Plex Sans" w:cs="IBM Plex Sans" w:eastAsia="IBM Plex Sans" w:hAnsi="IBM Plex Sans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rtl w:val="0"/>
              </w:rPr>
              <w:t xml:space="preserve">LTV, ARPU</w:t>
            </w:r>
          </w:p>
        </w:tc>
      </w:tr>
    </w:tbl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Таким образом, этапы следуют один за другим, обеспечивая бизнесу всю цепочку взаимодействия с клиентом - от первого визита на сайт до оплаты, и вы можете легко отслеживать, на каком-то этапе процессы идут не так, если количество клиентов на следующем уменьшится.</w:t>
      </w:r>
    </w:p>
    <w:p w:rsidR="00000000" w:rsidDel="00000000" w:rsidP="00000000" w:rsidRDefault="00000000" w:rsidRPr="00000000" w14:paraId="00000055">
      <w:pPr>
        <w:pStyle w:val="Heading1"/>
        <w:spacing w:line="360" w:lineRule="auto"/>
        <w:rPr/>
      </w:pPr>
      <w:bookmarkStart w:colFirst="0" w:colLast="0" w:name="_ync2oz3ubx17" w:id="12"/>
      <w:bookmarkEnd w:id="12"/>
      <w:r w:rsidDel="00000000" w:rsidR="00000000" w:rsidRPr="00000000">
        <w:rPr>
          <w:rtl w:val="0"/>
        </w:rPr>
        <w:t xml:space="preserve">4 категории метрик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Метрики нужно выбирать такими, чтобы они отражали действительно важные вещи и помогали:</w:t>
      </w:r>
    </w:p>
    <w:p w:rsidR="00000000" w:rsidDel="00000000" w:rsidP="00000000" w:rsidRDefault="00000000" w:rsidRPr="00000000" w14:paraId="00000057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Оценивать текущее состояние бизнеса</w:t>
      </w:r>
    </w:p>
    <w:p w:rsidR="00000000" w:rsidDel="00000000" w:rsidP="00000000" w:rsidRDefault="00000000" w:rsidRPr="00000000" w14:paraId="00000058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Определять точки роста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Метрики можно условно поделить на 4 категории:</w:t>
      </w:r>
    </w:p>
    <w:p w:rsidR="00000000" w:rsidDel="00000000" w:rsidP="00000000" w:rsidRDefault="00000000" w:rsidRPr="00000000" w14:paraId="0000005A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Рост</w:t>
      </w:r>
    </w:p>
    <w:p w:rsidR="00000000" w:rsidDel="00000000" w:rsidP="00000000" w:rsidRDefault="00000000" w:rsidRPr="00000000" w14:paraId="0000005B">
      <w:pPr>
        <w:ind w:left="720" w:firstLine="0"/>
        <w:rPr/>
      </w:pPr>
      <w:r w:rsidDel="00000000" w:rsidR="00000000" w:rsidRPr="00000000">
        <w:rPr>
          <w:rtl w:val="0"/>
        </w:rPr>
        <w:t xml:space="preserve">Привлекаем новых  пользователей</w:t>
      </w:r>
    </w:p>
    <w:p w:rsidR="00000000" w:rsidDel="00000000" w:rsidP="00000000" w:rsidRDefault="00000000" w:rsidRPr="00000000" w14:paraId="0000005C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Вовлечение </w:t>
      </w:r>
    </w:p>
    <w:p w:rsidR="00000000" w:rsidDel="00000000" w:rsidP="00000000" w:rsidRDefault="00000000" w:rsidRPr="00000000" w14:paraId="0000005D">
      <w:pPr>
        <w:ind w:left="720" w:firstLine="0"/>
        <w:rPr/>
      </w:pPr>
      <w:r w:rsidDel="00000000" w:rsidR="00000000" w:rsidRPr="00000000">
        <w:rPr>
          <w:rtl w:val="0"/>
        </w:rPr>
        <w:t xml:space="preserve">Увеличиваем активность  пользователей в продукте</w:t>
      </w:r>
    </w:p>
    <w:p w:rsidR="00000000" w:rsidDel="00000000" w:rsidP="00000000" w:rsidRDefault="00000000" w:rsidRPr="00000000" w14:paraId="0000005E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Удержание</w:t>
      </w:r>
    </w:p>
    <w:p w:rsidR="00000000" w:rsidDel="00000000" w:rsidP="00000000" w:rsidRDefault="00000000" w:rsidRPr="00000000" w14:paraId="0000005F">
      <w:pPr>
        <w:ind w:left="720" w:firstLine="0"/>
        <w:rPr/>
      </w:pPr>
      <w:r w:rsidDel="00000000" w:rsidR="00000000" w:rsidRPr="00000000">
        <w:rPr>
          <w:rtl w:val="0"/>
        </w:rPr>
        <w:t xml:space="preserve">Смотрим за тем, как возвращаются  старые пользователи</w:t>
      </w:r>
    </w:p>
    <w:p w:rsidR="00000000" w:rsidDel="00000000" w:rsidP="00000000" w:rsidRDefault="00000000" w:rsidRPr="00000000" w14:paraId="00000060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Монетизация</w:t>
      </w:r>
    </w:p>
    <w:p w:rsidR="00000000" w:rsidDel="00000000" w:rsidP="00000000" w:rsidRDefault="00000000" w:rsidRPr="00000000" w14:paraId="00000061">
      <w:pPr>
        <w:ind w:left="720" w:firstLine="0"/>
        <w:rPr/>
      </w:pPr>
      <w:r w:rsidDel="00000000" w:rsidR="00000000" w:rsidRPr="00000000">
        <w:rPr>
          <w:rtl w:val="0"/>
        </w:rPr>
        <w:t xml:space="preserve">Конвертируем использование  продукта в деньги</w:t>
      </w:r>
    </w:p>
    <w:p w:rsidR="00000000" w:rsidDel="00000000" w:rsidP="00000000" w:rsidRDefault="00000000" w:rsidRPr="00000000" w14:paraId="00000062">
      <w:pPr>
        <w:pStyle w:val="Heading2"/>
        <w:rPr/>
      </w:pPr>
      <w:bookmarkStart w:colFirst="0" w:colLast="0" w:name="_81kx8gak23cf" w:id="13"/>
      <w:bookmarkEnd w:id="13"/>
      <w:r w:rsidDel="00000000" w:rsidR="00000000" w:rsidRPr="00000000">
        <w:rPr>
          <w:rtl w:val="0"/>
        </w:rPr>
        <w:t xml:space="preserve">Метрики роста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color w:val="6654d9"/>
          <w:rtl w:val="0"/>
        </w:rPr>
        <w:t xml:space="preserve">Для  чего нужно? </w:t>
      </w:r>
      <w:r w:rsidDel="00000000" w:rsidR="00000000" w:rsidRPr="00000000">
        <w:rPr>
          <w:rtl w:val="0"/>
        </w:rPr>
        <w:t xml:space="preserve">Чтобы отслеживать, как вы привлекаете и активируете клиентов.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Отвечают на 2 главных вопроса:</w:t>
      </w:r>
    </w:p>
    <w:p w:rsidR="00000000" w:rsidDel="00000000" w:rsidP="00000000" w:rsidRDefault="00000000" w:rsidRPr="00000000" w14:paraId="00000065">
      <w:pPr>
        <w:numPr>
          <w:ilvl w:val="0"/>
          <w:numId w:val="7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Сколько новых клиентов?</w:t>
      </w:r>
    </w:p>
    <w:p w:rsidR="00000000" w:rsidDel="00000000" w:rsidP="00000000" w:rsidRDefault="00000000" w:rsidRPr="00000000" w14:paraId="00000066">
      <w:pPr>
        <w:numPr>
          <w:ilvl w:val="0"/>
          <w:numId w:val="17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DAU и MAU – величина  дневной/месячной активной  аудитории</w:t>
      </w:r>
    </w:p>
    <w:p w:rsidR="00000000" w:rsidDel="00000000" w:rsidP="00000000" w:rsidRDefault="00000000" w:rsidRPr="00000000" w14:paraId="00000067">
      <w:pPr>
        <w:numPr>
          <w:ilvl w:val="0"/>
          <w:numId w:val="17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Количество новых пользователей за период</w:t>
      </w:r>
    </w:p>
    <w:p w:rsidR="00000000" w:rsidDel="00000000" w:rsidP="00000000" w:rsidRDefault="00000000" w:rsidRPr="00000000" w14:paraId="00000068">
      <w:pPr>
        <w:numPr>
          <w:ilvl w:val="0"/>
          <w:numId w:val="17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Конверсия из посещения/просмотра в первую покупку (С1)</w:t>
      </w:r>
    </w:p>
    <w:p w:rsidR="00000000" w:rsidDel="00000000" w:rsidP="00000000" w:rsidRDefault="00000000" w:rsidRPr="00000000" w14:paraId="00000069">
      <w:pPr>
        <w:numPr>
          <w:ilvl w:val="0"/>
          <w:numId w:val="17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Конверсия в регистрацию</w:t>
      </w:r>
    </w:p>
    <w:p w:rsidR="00000000" w:rsidDel="00000000" w:rsidP="00000000" w:rsidRDefault="00000000" w:rsidRPr="00000000" w14:paraId="0000006A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Сколько стоит клиент?</w:t>
      </w:r>
    </w:p>
    <w:p w:rsidR="00000000" w:rsidDel="00000000" w:rsidP="00000000" w:rsidRDefault="00000000" w:rsidRPr="00000000" w14:paraId="0000006B">
      <w:pPr>
        <w:numPr>
          <w:ilvl w:val="0"/>
          <w:numId w:val="19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CAC (customer acquisition cost)</w:t>
      </w:r>
    </w:p>
    <w:p w:rsidR="00000000" w:rsidDel="00000000" w:rsidP="00000000" w:rsidRDefault="00000000" w:rsidRPr="00000000" w14:paraId="0000006C">
      <w:pPr>
        <w:numPr>
          <w:ilvl w:val="0"/>
          <w:numId w:val="19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CPI (Cost per Install) – цена за установку приложения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Дневная аудитория (DAU) — количество уникальных пользователей, которые зашли в приложение в течение суток.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Средняя дневная аудитория — среднее арифметическое дневной аудитории за определенный период.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Месячная аудитория (MAU) — количество уникальных пользователей, которые зашли в приложение в течение месяца.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По отношению средней дневной аудитории к месячной можно понимать частоту использования продукта.</w:t>
      </w:r>
    </w:p>
    <w:p w:rsidR="00000000" w:rsidDel="00000000" w:rsidP="00000000" w:rsidRDefault="00000000" w:rsidRPr="00000000" w14:paraId="00000071">
      <w:pPr>
        <w:pStyle w:val="Heading2"/>
        <w:rPr/>
      </w:pPr>
      <w:bookmarkStart w:colFirst="0" w:colLast="0" w:name="_5p4cmuvasajr" w:id="14"/>
      <w:bookmarkEnd w:id="14"/>
      <w:r w:rsidDel="00000000" w:rsidR="00000000" w:rsidRPr="00000000">
        <w:rPr>
          <w:rtl w:val="0"/>
        </w:rPr>
        <w:t xml:space="preserve">Метрики вовлечения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color w:val="6654d9"/>
          <w:rtl w:val="0"/>
        </w:rPr>
        <w:t xml:space="preserve">Для  чего нужно?</w:t>
      </w:r>
      <w:r w:rsidDel="00000000" w:rsidR="00000000" w:rsidRPr="00000000">
        <w:rPr>
          <w:rtl w:val="0"/>
        </w:rPr>
        <w:t xml:space="preserve"> Чтобы отслеживать, насколько активно клиенты пользуются продуктом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Например:</w:t>
      </w:r>
    </w:p>
    <w:p w:rsidR="00000000" w:rsidDel="00000000" w:rsidP="00000000" w:rsidRDefault="00000000" w:rsidRPr="00000000" w14:paraId="00000074">
      <w:pPr>
        <w:numPr>
          <w:ilvl w:val="0"/>
          <w:numId w:val="1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DAU/MAU – частота использования сервиса в месяц</w:t>
      </w:r>
    </w:p>
    <w:p w:rsidR="00000000" w:rsidDel="00000000" w:rsidP="00000000" w:rsidRDefault="00000000" w:rsidRPr="00000000" w14:paraId="00000075">
      <w:pPr>
        <w:numPr>
          <w:ilvl w:val="0"/>
          <w:numId w:val="1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Количество сессий на пользователя за период</w:t>
      </w:r>
    </w:p>
    <w:p w:rsidR="00000000" w:rsidDel="00000000" w:rsidP="00000000" w:rsidRDefault="00000000" w:rsidRPr="00000000" w14:paraId="00000076">
      <w:pPr>
        <w:numPr>
          <w:ilvl w:val="0"/>
          <w:numId w:val="1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Доля пользователей, использующих более 7 скиллов голосового помощника</w:t>
      </w:r>
    </w:p>
    <w:p w:rsidR="00000000" w:rsidDel="00000000" w:rsidP="00000000" w:rsidRDefault="00000000" w:rsidRPr="00000000" w14:paraId="00000077">
      <w:pPr>
        <w:numPr>
          <w:ilvl w:val="0"/>
          <w:numId w:val="1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Количество лайков /добавлений в закладки</w:t>
      </w:r>
    </w:p>
    <w:p w:rsidR="00000000" w:rsidDel="00000000" w:rsidP="00000000" w:rsidRDefault="00000000" w:rsidRPr="00000000" w14:paraId="00000078">
      <w:pPr>
        <w:numPr>
          <w:ilvl w:val="0"/>
          <w:numId w:val="1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Активное время, проведенное за просмотром фид-ленты</w:t>
      </w:r>
    </w:p>
    <w:p w:rsidR="00000000" w:rsidDel="00000000" w:rsidP="00000000" w:rsidRDefault="00000000" w:rsidRPr="00000000" w14:paraId="00000079">
      <w:pPr>
        <w:pStyle w:val="Heading2"/>
        <w:rPr/>
      </w:pPr>
      <w:bookmarkStart w:colFirst="0" w:colLast="0" w:name="_v1anr4e9ki4" w:id="15"/>
      <w:bookmarkEnd w:id="15"/>
      <w:r w:rsidDel="00000000" w:rsidR="00000000" w:rsidRPr="00000000">
        <w:rPr>
          <w:rtl w:val="0"/>
        </w:rPr>
        <w:t xml:space="preserve">Метрики удержания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color w:val="6654d9"/>
          <w:rtl w:val="0"/>
        </w:rPr>
        <w:t xml:space="preserve">Для  чего нужно?</w:t>
      </w:r>
      <w:r w:rsidDel="00000000" w:rsidR="00000000" w:rsidRPr="00000000">
        <w:rPr>
          <w:rtl w:val="0"/>
        </w:rPr>
        <w:t xml:space="preserve"> Чтобы отслеживать, как пользователи к вам возвращаются = насколько им нравится сервис.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Например:</w:t>
      </w:r>
    </w:p>
    <w:p w:rsidR="00000000" w:rsidDel="00000000" w:rsidP="00000000" w:rsidRDefault="00000000" w:rsidRPr="00000000" w14:paraId="0000007C">
      <w:pPr>
        <w:numPr>
          <w:ilvl w:val="0"/>
          <w:numId w:val="2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1h/1d/1w/1m Retention - процент удержания клиентов после первого часа/ дня/ недели/ месяца</w:t>
      </w:r>
    </w:p>
    <w:p w:rsidR="00000000" w:rsidDel="00000000" w:rsidP="00000000" w:rsidRDefault="00000000" w:rsidRPr="00000000" w14:paraId="0000007D">
      <w:pPr>
        <w:numPr>
          <w:ilvl w:val="0"/>
          <w:numId w:val="2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Customer Churn rate – доля  аудитории, покинувшей продукт за определенный период</w:t>
      </w:r>
    </w:p>
    <w:p w:rsidR="00000000" w:rsidDel="00000000" w:rsidP="00000000" w:rsidRDefault="00000000" w:rsidRPr="00000000" w14:paraId="0000007E">
      <w:pPr>
        <w:numPr>
          <w:ilvl w:val="0"/>
          <w:numId w:val="2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Доля клиентов, сделавших повторную покупку</w:t>
      </w:r>
    </w:p>
    <w:p w:rsidR="00000000" w:rsidDel="00000000" w:rsidP="00000000" w:rsidRDefault="00000000" w:rsidRPr="00000000" w14:paraId="0000007F">
      <w:pPr>
        <w:numPr>
          <w:ilvl w:val="0"/>
          <w:numId w:val="2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Частотность покупок </w:t>
      </w:r>
    </w:p>
    <w:p w:rsidR="00000000" w:rsidDel="00000000" w:rsidP="00000000" w:rsidRDefault="00000000" w:rsidRPr="00000000" w14:paraId="00000080">
      <w:pPr>
        <w:numPr>
          <w:ilvl w:val="0"/>
          <w:numId w:val="2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C2 - конверсия во вторую покупку</w:t>
      </w:r>
    </w:p>
    <w:p w:rsidR="00000000" w:rsidDel="00000000" w:rsidP="00000000" w:rsidRDefault="00000000" w:rsidRPr="00000000" w14:paraId="00000081">
      <w:pPr>
        <w:numPr>
          <w:ilvl w:val="0"/>
          <w:numId w:val="2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Bounce rate – доля людей, ушедших сразу после установки/посещения</w:t>
      </w:r>
    </w:p>
    <w:p w:rsidR="00000000" w:rsidDel="00000000" w:rsidP="00000000" w:rsidRDefault="00000000" w:rsidRPr="00000000" w14:paraId="00000082">
      <w:pPr>
        <w:numPr>
          <w:ilvl w:val="0"/>
          <w:numId w:val="24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LT (life time) – время, которые клиент пользуется сервисом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Основной из перечисленных метрик является Retention rate – доля активных клиентов (%), возвращающаяся в сервис из периода в период. При этом «возврат» –  совершенное полезное для бизнеса действия, а не просто повторный заход в сервис.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114300" distT="114300" distL="114300" distR="114300">
            <wp:extent cx="6120000" cy="17399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Период расчета Retention зависит от LT и средней частоты совершения полезного действия. Сравните сайты по выбору автомобилей и заказу еды на дом: в первом случае сама покупка автомобиля происходит раз в несколько лет и может использоваться месячный или годовой ретеншн, во втором мы говорим о ежедневном использовании и сервису больше подойдет ежедневный и еженедельный ретеншн.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Пример: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Представим, что у вас есть продукт, в который в первый день пришло сто пользователей. На второй из этих ста вернулось только восемьдесят, на третий – шестьдесят, на четвертый и пятый – сорок.</w:t>
      </w:r>
    </w:p>
    <w:p w:rsidR="00000000" w:rsidDel="00000000" w:rsidP="00000000" w:rsidRDefault="00000000" w:rsidRPr="00000000" w14:paraId="00000087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100 </w:t>
      </w:r>
    </w:p>
    <w:p w:rsidR="00000000" w:rsidDel="00000000" w:rsidP="00000000" w:rsidRDefault="00000000" w:rsidRPr="00000000" w14:paraId="00000088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80</w:t>
      </w:r>
    </w:p>
    <w:p w:rsidR="00000000" w:rsidDel="00000000" w:rsidP="00000000" w:rsidRDefault="00000000" w:rsidRPr="00000000" w14:paraId="00000089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60</w:t>
      </w:r>
    </w:p>
    <w:p w:rsidR="00000000" w:rsidDel="00000000" w:rsidP="00000000" w:rsidRDefault="00000000" w:rsidRPr="00000000" w14:paraId="0000008A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40</w:t>
      </w:r>
    </w:p>
    <w:p w:rsidR="00000000" w:rsidDel="00000000" w:rsidP="00000000" w:rsidRDefault="00000000" w:rsidRPr="00000000" w14:paraId="0000008B">
      <w:pPr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40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Тогда ретеншн будет выглядеть следующим образом: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/>
        <w:drawing>
          <wp:inline distB="19050" distT="19050" distL="19050" distR="19050">
            <wp:extent cx="6120000" cy="37973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0"/>
        <w:rPr/>
      </w:pPr>
      <w:r w:rsidDel="00000000" w:rsidR="00000000" w:rsidRPr="00000000">
        <w:rPr>
          <w:rtl w:val="0"/>
        </w:rPr>
        <w:t xml:space="preserve">Допустим, что в предыдущем примере в каждый из пяти дней в продукт приходят по 100 человек:</w:t>
      </w:r>
    </w:p>
    <w:p w:rsidR="00000000" w:rsidDel="00000000" w:rsidP="00000000" w:rsidRDefault="00000000" w:rsidRPr="00000000" w14:paraId="0000008F">
      <w:pPr>
        <w:ind w:left="0" w:firstLine="0"/>
        <w:rPr/>
      </w:pPr>
      <w:r w:rsidDel="00000000" w:rsidR="00000000" w:rsidRPr="00000000">
        <w:rPr/>
        <w:drawing>
          <wp:inline distB="19050" distT="19050" distL="19050" distR="19050">
            <wp:extent cx="6120000" cy="24384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0"/>
        <w:rPr/>
      </w:pPr>
      <w:r w:rsidDel="00000000" w:rsidR="00000000" w:rsidRPr="00000000">
        <w:rPr>
          <w:rtl w:val="0"/>
        </w:rPr>
        <w:t xml:space="preserve">Тогда нужно:</w:t>
      </w:r>
    </w:p>
    <w:p w:rsidR="00000000" w:rsidDel="00000000" w:rsidP="00000000" w:rsidRDefault="00000000" w:rsidRPr="00000000" w14:paraId="0000009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Вычислить retention с первого по пятый день для каждой группы пользователей, которая приходила в продукт</w:t>
      </w:r>
    </w:p>
    <w:p w:rsidR="00000000" w:rsidDel="00000000" w:rsidP="00000000" w:rsidRDefault="00000000" w:rsidRPr="00000000" w14:paraId="0000009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Взять результаты каждой группы пользователей и посчитать среднее значение удержание по каждому из дней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Таким образом, получим Retention для набора дней с первого по пятый.</w:t>
      </w:r>
    </w:p>
    <w:p w:rsidR="00000000" w:rsidDel="00000000" w:rsidP="00000000" w:rsidRDefault="00000000" w:rsidRPr="00000000" w14:paraId="00000094">
      <w:pPr>
        <w:pStyle w:val="Heading2"/>
        <w:rPr/>
      </w:pPr>
      <w:bookmarkStart w:colFirst="0" w:colLast="0" w:name="_z14jiohh9uxl" w:id="16"/>
      <w:bookmarkEnd w:id="16"/>
      <w:r w:rsidDel="00000000" w:rsidR="00000000" w:rsidRPr="00000000">
        <w:rPr>
          <w:rtl w:val="0"/>
        </w:rPr>
        <w:t xml:space="preserve">Метрики монетизации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color w:val="6654d9"/>
          <w:rtl w:val="0"/>
        </w:rPr>
        <w:t xml:space="preserve">Для чего нужно?</w:t>
      </w:r>
      <w:r w:rsidDel="00000000" w:rsidR="00000000" w:rsidRPr="00000000">
        <w:rPr>
          <w:rtl w:val="0"/>
        </w:rPr>
        <w:t xml:space="preserve"> Чтобы понять, можно ли на этом заработать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Чаще всего такие метрики называют “Unit-экономика”. Это довольно популярный в стартап-среде концепт, который можно просто объяснить в несколько предложений. Unit-экономика отвечает на вопрос, зарабатываем ли мы на пользователе (конкретном юните) или нет. Чтобы это узнать, достаточно знать два показателя: </w:t>
      </w:r>
    </w:p>
    <w:p w:rsidR="00000000" w:rsidDel="00000000" w:rsidP="00000000" w:rsidRDefault="00000000" w:rsidRPr="00000000" w14:paraId="00000097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Сколько мы потратили, чтобы привлечь пользователя? </w:t>
      </w:r>
    </w:p>
    <w:p w:rsidR="00000000" w:rsidDel="00000000" w:rsidP="00000000" w:rsidRDefault="00000000" w:rsidRPr="00000000" w14:paraId="00000098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Сколько денег мы с него заработали?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Для того, чтобы понять, сколько мы потратили на привлечение одного пользователя, нужно подсчитать: </w:t>
      </w:r>
    </w:p>
    <w:p w:rsidR="00000000" w:rsidDel="00000000" w:rsidP="00000000" w:rsidRDefault="00000000" w:rsidRPr="00000000" w14:paraId="0000009A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Сколько было потрачено на привлечение группы пользователей - когорты (выборки, принятой к сравнению)</w:t>
      </w:r>
    </w:p>
    <w:p w:rsidR="00000000" w:rsidDel="00000000" w:rsidP="00000000" w:rsidRDefault="00000000" w:rsidRPr="00000000" w14:paraId="0000009B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Разделить полученную сумму на количество пользователей в когорте</w:t>
      </w:r>
    </w:p>
    <w:p w:rsidR="00000000" w:rsidDel="00000000" w:rsidP="00000000" w:rsidRDefault="00000000" w:rsidRPr="00000000" w14:paraId="0000009C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Полученное число - стоимость привлечения пользователя в данной когорте-выборке или СРА - Cost Per Acquisition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Для того, чтобы подсчитать, сколько мы зарабатываем на одном пользователе, необходимо получить следующие значения: </w:t>
      </w:r>
    </w:p>
    <w:p w:rsidR="00000000" w:rsidDel="00000000" w:rsidP="00000000" w:rsidRDefault="00000000" w:rsidRPr="00000000" w14:paraId="0000009E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Взять ранее рассматриваемую когорту и подсчитать выручку, которую мы получим с ее транзакций в продукте - gross profit</w:t>
      </w:r>
    </w:p>
    <w:p w:rsidR="00000000" w:rsidDel="00000000" w:rsidP="00000000" w:rsidRDefault="00000000" w:rsidRPr="00000000" w14:paraId="0000009F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Разделить полученную сумму на количество пользователей в рассматриваемой когорте</w:t>
      </w:r>
    </w:p>
    <w:p w:rsidR="00000000" w:rsidDel="00000000" w:rsidP="00000000" w:rsidRDefault="00000000" w:rsidRPr="00000000" w14:paraId="000000A0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Полученное число - сумма, которую пользователь приносит вам на протяжении всего взаимодействия с продуктом или LTV - Life Time Value. 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И в конце мы просто сравниваем эти два показателя. Иные же метрики, о которых вы наверняка слышали ранее в разрезе unit-экономики - ARPU, ARPPU, COGS и т.д. являются частью фреймворка. Его ключевая идея состояла в том, что две верхнеуровневые метрики, которые мы обсудили ранее, можно разложить на множество составляющих, чтобы команда могла увидеть конкретные рычаги воздействия на продукт. </w:t>
      </w:r>
    </w:p>
    <w:p w:rsidR="00000000" w:rsidDel="00000000" w:rsidP="00000000" w:rsidRDefault="00000000" w:rsidRPr="00000000" w14:paraId="000000A2">
      <w:pPr>
        <w:pStyle w:val="Heading1"/>
        <w:widowControl w:val="0"/>
        <w:spacing w:after="0" w:before="0" w:line="204" w:lineRule="auto"/>
        <w:ind w:left="20" w:right="1860" w:firstLine="0"/>
        <w:rPr/>
      </w:pPr>
      <w:bookmarkStart w:colFirst="0" w:colLast="0" w:name="_okf1547fci2e" w:id="17"/>
      <w:bookmarkEnd w:id="17"/>
      <w:r w:rsidDel="00000000" w:rsidR="00000000" w:rsidRPr="00000000">
        <w:rPr>
          <w:rtl w:val="0"/>
        </w:rPr>
        <w:t xml:space="preserve">Примеры метрик продуктов из разных сфер</w:t>
      </w:r>
    </w:p>
    <w:p w:rsidR="00000000" w:rsidDel="00000000" w:rsidP="00000000" w:rsidRDefault="00000000" w:rsidRPr="00000000" w14:paraId="000000A3">
      <w:pPr>
        <w:pStyle w:val="Heading2"/>
        <w:rPr/>
      </w:pPr>
      <w:bookmarkStart w:colFirst="0" w:colLast="0" w:name="_fiuc9zqo36eb" w:id="18"/>
      <w:bookmarkEnd w:id="18"/>
      <w:r w:rsidDel="00000000" w:rsidR="00000000" w:rsidRPr="00000000">
        <w:rPr>
          <w:rtl w:val="0"/>
        </w:rPr>
        <w:t xml:space="preserve">Чат-боты</w:t>
      </w:r>
    </w:p>
    <w:p w:rsidR="00000000" w:rsidDel="00000000" w:rsidP="00000000" w:rsidRDefault="00000000" w:rsidRPr="00000000" w14:paraId="000000A4">
      <w:pPr>
        <w:numPr>
          <w:ilvl w:val="0"/>
          <w:numId w:val="1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MAU, DAU</w:t>
      </w:r>
    </w:p>
    <w:p w:rsidR="00000000" w:rsidDel="00000000" w:rsidP="00000000" w:rsidRDefault="00000000" w:rsidRPr="00000000" w14:paraId="000000A5">
      <w:pPr>
        <w:numPr>
          <w:ilvl w:val="0"/>
          <w:numId w:val="1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Retention</w:t>
      </w:r>
    </w:p>
    <w:p w:rsidR="00000000" w:rsidDel="00000000" w:rsidP="00000000" w:rsidRDefault="00000000" w:rsidRPr="00000000" w14:paraId="000000A6">
      <w:pPr>
        <w:numPr>
          <w:ilvl w:val="0"/>
          <w:numId w:val="1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Количество фраз на пользователя</w:t>
      </w:r>
    </w:p>
    <w:p w:rsidR="00000000" w:rsidDel="00000000" w:rsidP="00000000" w:rsidRDefault="00000000" w:rsidRPr="00000000" w14:paraId="000000A7">
      <w:pPr>
        <w:numPr>
          <w:ilvl w:val="0"/>
          <w:numId w:val="1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Длина диалога</w:t>
      </w:r>
    </w:p>
    <w:p w:rsidR="00000000" w:rsidDel="00000000" w:rsidP="00000000" w:rsidRDefault="00000000" w:rsidRPr="00000000" w14:paraId="000000A8">
      <w:pPr>
        <w:numPr>
          <w:ilvl w:val="0"/>
          <w:numId w:val="1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Доля диалогов, которые привели к целевому результату</w:t>
      </w:r>
    </w:p>
    <w:p w:rsidR="00000000" w:rsidDel="00000000" w:rsidP="00000000" w:rsidRDefault="00000000" w:rsidRPr="00000000" w14:paraId="000000A9">
      <w:pPr>
        <w:numPr>
          <w:ilvl w:val="0"/>
          <w:numId w:val="1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Доля диалогов, переведенных на оператора</w:t>
      </w:r>
    </w:p>
    <w:p w:rsidR="00000000" w:rsidDel="00000000" w:rsidP="00000000" w:rsidRDefault="00000000" w:rsidRPr="00000000" w14:paraId="000000AA">
      <w:pPr>
        <w:pStyle w:val="Heading2"/>
        <w:widowControl w:val="0"/>
        <w:spacing w:after="0" w:before="0" w:line="204" w:lineRule="auto"/>
        <w:rPr/>
      </w:pPr>
      <w:bookmarkStart w:colFirst="0" w:colLast="0" w:name="_y3vjlnhsi000" w:id="19"/>
      <w:bookmarkEnd w:id="19"/>
      <w:r w:rsidDel="00000000" w:rsidR="00000000" w:rsidRPr="00000000">
        <w:rPr>
          <w:rtl w:val="0"/>
        </w:rPr>
        <w:t xml:space="preserve">Интернет-магазин</w:t>
      </w:r>
    </w:p>
    <w:p w:rsidR="00000000" w:rsidDel="00000000" w:rsidP="00000000" w:rsidRDefault="00000000" w:rsidRPr="00000000" w14:paraId="000000AB">
      <w:pPr>
        <w:numPr>
          <w:ilvl w:val="0"/>
          <w:numId w:val="18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MAU, DAU</w:t>
      </w:r>
    </w:p>
    <w:p w:rsidR="00000000" w:rsidDel="00000000" w:rsidP="00000000" w:rsidRDefault="00000000" w:rsidRPr="00000000" w14:paraId="000000AC">
      <w:pPr>
        <w:numPr>
          <w:ilvl w:val="0"/>
          <w:numId w:val="18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Retention</w:t>
      </w:r>
    </w:p>
    <w:p w:rsidR="00000000" w:rsidDel="00000000" w:rsidP="00000000" w:rsidRDefault="00000000" w:rsidRPr="00000000" w14:paraId="000000AD">
      <w:pPr>
        <w:numPr>
          <w:ilvl w:val="0"/>
          <w:numId w:val="18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Конверсии шагов воронки</w:t>
      </w:r>
    </w:p>
    <w:p w:rsidR="00000000" w:rsidDel="00000000" w:rsidP="00000000" w:rsidRDefault="00000000" w:rsidRPr="00000000" w14:paraId="000000AE">
      <w:pPr>
        <w:numPr>
          <w:ilvl w:val="0"/>
          <w:numId w:val="18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AOV</w:t>
      </w:r>
    </w:p>
    <w:p w:rsidR="00000000" w:rsidDel="00000000" w:rsidP="00000000" w:rsidRDefault="00000000" w:rsidRPr="00000000" w14:paraId="000000AF">
      <w:pPr>
        <w:numPr>
          <w:ilvl w:val="0"/>
          <w:numId w:val="18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Конверсия из просмотра в заказ (C1, С2)</w:t>
      </w:r>
    </w:p>
    <w:p w:rsidR="00000000" w:rsidDel="00000000" w:rsidP="00000000" w:rsidRDefault="00000000" w:rsidRPr="00000000" w14:paraId="000000B0">
      <w:pPr>
        <w:numPr>
          <w:ilvl w:val="0"/>
          <w:numId w:val="18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Доля брошенных корзин</w:t>
      </w:r>
    </w:p>
    <w:p w:rsidR="00000000" w:rsidDel="00000000" w:rsidP="00000000" w:rsidRDefault="00000000" w:rsidRPr="00000000" w14:paraId="000000B1">
      <w:pPr>
        <w:numPr>
          <w:ilvl w:val="0"/>
          <w:numId w:val="18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Доступность стока / запас товаров</w:t>
      </w:r>
    </w:p>
    <w:p w:rsidR="00000000" w:rsidDel="00000000" w:rsidP="00000000" w:rsidRDefault="00000000" w:rsidRPr="00000000" w14:paraId="000000B2">
      <w:pPr>
        <w:pStyle w:val="Heading3"/>
        <w:widowControl w:val="0"/>
        <w:spacing w:after="0" w:before="0" w:line="204" w:lineRule="auto"/>
        <w:rPr/>
      </w:pPr>
      <w:bookmarkStart w:colFirst="0" w:colLast="0" w:name="_4144c0pk8vcw" w:id="20"/>
      <w:bookmarkEnd w:id="20"/>
      <w:r w:rsidDel="00000000" w:rsidR="00000000" w:rsidRPr="00000000">
        <w:rPr>
          <w:rtl w:val="0"/>
        </w:rPr>
        <w:t xml:space="preserve">Конверсия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Конверсия (CR или conversion rate) – метрика, показывающая отношения числа пользователей выполнивших какое либо целевое действие к общему числу пользователей.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Конверсию можно считать для одного целевого действия в продукте, а можно отслеживать по конкретным шагам.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Окно конверсии (conversion window) – время за которое пользователь должен пройти по этапам воронки, чтобы учитываться при расчете конверсии.</w:t>
      </w:r>
    </w:p>
    <w:p w:rsidR="00000000" w:rsidDel="00000000" w:rsidP="00000000" w:rsidRDefault="00000000" w:rsidRPr="00000000" w14:paraId="000000B6">
      <w:pPr>
        <w:pStyle w:val="Heading3"/>
        <w:rPr/>
      </w:pPr>
      <w:bookmarkStart w:colFirst="0" w:colLast="0" w:name="_x5cbc2l9j9kh" w:id="21"/>
      <w:bookmarkEnd w:id="21"/>
      <w:r w:rsidDel="00000000" w:rsidR="00000000" w:rsidRPr="00000000">
        <w:rPr>
          <w:rtl w:val="0"/>
        </w:rPr>
        <w:t xml:space="preserve">Воронка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Рассмотрим типичный интернет-магазин. В таком продукте есть несколько ключевых действий, через которые пользователь доходит к покупке:</w:t>
      </w:r>
    </w:p>
    <w:p w:rsidR="00000000" w:rsidDel="00000000" w:rsidP="00000000" w:rsidRDefault="00000000" w:rsidRPr="00000000" w14:paraId="000000B8">
      <w:pPr>
        <w:numPr>
          <w:ilvl w:val="0"/>
          <w:numId w:val="2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просмотр каталога;</w:t>
      </w:r>
    </w:p>
    <w:p w:rsidR="00000000" w:rsidDel="00000000" w:rsidP="00000000" w:rsidRDefault="00000000" w:rsidRPr="00000000" w14:paraId="000000B9">
      <w:pPr>
        <w:numPr>
          <w:ilvl w:val="0"/>
          <w:numId w:val="2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переход на карточку товара;</w:t>
      </w:r>
    </w:p>
    <w:p w:rsidR="00000000" w:rsidDel="00000000" w:rsidP="00000000" w:rsidRDefault="00000000" w:rsidRPr="00000000" w14:paraId="000000BA">
      <w:pPr>
        <w:numPr>
          <w:ilvl w:val="0"/>
          <w:numId w:val="2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добавление в корзину</w:t>
      </w:r>
    </w:p>
    <w:p w:rsidR="00000000" w:rsidDel="00000000" w:rsidP="00000000" w:rsidRDefault="00000000" w:rsidRPr="00000000" w14:paraId="000000BB">
      <w:pPr>
        <w:numPr>
          <w:ilvl w:val="0"/>
          <w:numId w:val="2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переход к оформлению заказа;</w:t>
      </w:r>
    </w:p>
    <w:p w:rsidR="00000000" w:rsidDel="00000000" w:rsidP="00000000" w:rsidRDefault="00000000" w:rsidRPr="00000000" w14:paraId="000000BC">
      <w:pPr>
        <w:numPr>
          <w:ilvl w:val="0"/>
          <w:numId w:val="25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покупка товара.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Отслеживание переходов пользователей с одного шага на другой называется воронкой.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Отслеживание конверсии пользователя из шага в шаг называется воронкой конверсии и обычно выглядит следующим образом: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/>
        <w:drawing>
          <wp:inline distB="19050" distT="19050" distL="19050" distR="19050">
            <wp:extent cx="6120000" cy="37846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2"/>
        <w:widowControl w:val="0"/>
        <w:spacing w:after="0" w:before="0" w:line="204" w:lineRule="auto"/>
        <w:rPr/>
      </w:pPr>
      <w:bookmarkStart w:colFirst="0" w:colLast="0" w:name="_fvly4v4defjk" w:id="22"/>
      <w:bookmarkEnd w:id="22"/>
      <w:r w:rsidDel="00000000" w:rsidR="00000000" w:rsidRPr="00000000">
        <w:rPr>
          <w:rtl w:val="0"/>
        </w:rPr>
        <w:t xml:space="preserve">Продукты с рекламной моделью</w:t>
      </w:r>
    </w:p>
    <w:p w:rsidR="00000000" w:rsidDel="00000000" w:rsidP="00000000" w:rsidRDefault="00000000" w:rsidRPr="00000000" w14:paraId="000000C2">
      <w:pPr>
        <w:numPr>
          <w:ilvl w:val="0"/>
          <w:numId w:val="2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MAU, DAU</w:t>
      </w:r>
    </w:p>
    <w:p w:rsidR="00000000" w:rsidDel="00000000" w:rsidP="00000000" w:rsidRDefault="00000000" w:rsidRPr="00000000" w14:paraId="000000C3">
      <w:pPr>
        <w:numPr>
          <w:ilvl w:val="0"/>
          <w:numId w:val="2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Retention</w:t>
      </w:r>
    </w:p>
    <w:p w:rsidR="00000000" w:rsidDel="00000000" w:rsidP="00000000" w:rsidRDefault="00000000" w:rsidRPr="00000000" w14:paraId="000000C4">
      <w:pPr>
        <w:numPr>
          <w:ilvl w:val="0"/>
          <w:numId w:val="2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CTR (click-through rate) - отношение показов кликов на баннер к его показам</w:t>
      </w:r>
    </w:p>
    <w:p w:rsidR="00000000" w:rsidDel="00000000" w:rsidP="00000000" w:rsidRDefault="00000000" w:rsidRPr="00000000" w14:paraId="000000C5">
      <w:pPr>
        <w:numPr>
          <w:ilvl w:val="0"/>
          <w:numId w:val="2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Длина сессии</w:t>
      </w:r>
    </w:p>
    <w:p w:rsidR="00000000" w:rsidDel="00000000" w:rsidP="00000000" w:rsidRDefault="00000000" w:rsidRPr="00000000" w14:paraId="000000C6">
      <w:pPr>
        <w:numPr>
          <w:ilvl w:val="0"/>
          <w:numId w:val="2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Время, проведенное на сайте</w:t>
      </w:r>
    </w:p>
    <w:p w:rsidR="00000000" w:rsidDel="00000000" w:rsidP="00000000" w:rsidRDefault="00000000" w:rsidRPr="00000000" w14:paraId="000000C7">
      <w:pPr>
        <w:numPr>
          <w:ilvl w:val="0"/>
          <w:numId w:val="2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Показы рекламных мест на пользователя</w:t>
      </w:r>
    </w:p>
    <w:p w:rsidR="00000000" w:rsidDel="00000000" w:rsidP="00000000" w:rsidRDefault="00000000" w:rsidRPr="00000000" w14:paraId="000000C8">
      <w:pPr>
        <w:numPr>
          <w:ilvl w:val="0"/>
          <w:numId w:val="2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Количество уникальных клиентов за период</w:t>
      </w:r>
    </w:p>
    <w:p w:rsidR="00000000" w:rsidDel="00000000" w:rsidP="00000000" w:rsidRDefault="00000000" w:rsidRPr="00000000" w14:paraId="000000C9">
      <w:pPr>
        <w:numPr>
          <w:ilvl w:val="0"/>
          <w:numId w:val="26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Конверсия сессий в клики</w:t>
      </w:r>
    </w:p>
    <w:p w:rsidR="00000000" w:rsidDel="00000000" w:rsidP="00000000" w:rsidRDefault="00000000" w:rsidRPr="00000000" w14:paraId="000000CA">
      <w:pPr>
        <w:pStyle w:val="Heading1"/>
        <w:widowControl w:val="0"/>
        <w:spacing w:after="0" w:before="0" w:line="204" w:lineRule="auto"/>
        <w:ind w:left="20" w:right="1860" w:firstLine="0"/>
        <w:rPr/>
      </w:pPr>
      <w:bookmarkStart w:colFirst="0" w:colLast="0" w:name="_21sj4zcahi6x" w:id="23"/>
      <w:bookmarkEnd w:id="23"/>
      <w:r w:rsidDel="00000000" w:rsidR="00000000" w:rsidRPr="00000000">
        <w:rPr>
          <w:rtl w:val="0"/>
        </w:rPr>
        <w:t xml:space="preserve">Отслеживание метрик</w:t>
      </w:r>
    </w:p>
    <w:p w:rsidR="00000000" w:rsidDel="00000000" w:rsidP="00000000" w:rsidRDefault="00000000" w:rsidRPr="00000000" w14:paraId="000000CB">
      <w:pPr>
        <w:pStyle w:val="Heading2"/>
        <w:rPr/>
      </w:pPr>
      <w:bookmarkStart w:colFirst="0" w:colLast="0" w:name="_itqry4ab35en" w:id="24"/>
      <w:bookmarkEnd w:id="24"/>
      <w:r w:rsidDel="00000000" w:rsidR="00000000" w:rsidRPr="00000000">
        <w:rPr>
          <w:rtl w:val="0"/>
        </w:rPr>
        <w:t xml:space="preserve">Разрезы метрик</w:t>
      </w:r>
    </w:p>
    <w:p w:rsidR="00000000" w:rsidDel="00000000" w:rsidP="00000000" w:rsidRDefault="00000000" w:rsidRPr="00000000" w14:paraId="000000CC">
      <w:pPr>
        <w:rPr>
          <w:color w:val="6654d9"/>
        </w:rPr>
      </w:pPr>
      <w:r w:rsidDel="00000000" w:rsidR="00000000" w:rsidRPr="00000000">
        <w:rPr>
          <w:color w:val="6654d9"/>
          <w:rtl w:val="0"/>
        </w:rPr>
        <w:t xml:space="preserve">Когорты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Разделение пользователей по временным  периодам, в которые они совершили какое-то  общее действие. Чаще всего «общее  действие» – это первая покупка.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Например: «Когорта мая» обозначает группу пользователей, пришедших в с 1 по 31 мая.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Когорты используются для отслеживания изменений. Когортный анализ – сравнение метрики на нескольких хронологически разных версиях продукта со схожими аудиторными характеристиками.</w:t>
      </w:r>
    </w:p>
    <w:p w:rsidR="00000000" w:rsidDel="00000000" w:rsidP="00000000" w:rsidRDefault="00000000" w:rsidRPr="00000000" w14:paraId="000000D0">
      <w:pPr>
        <w:rPr>
          <w:color w:val="6654d9"/>
        </w:rPr>
      </w:pPr>
      <w:r w:rsidDel="00000000" w:rsidR="00000000" w:rsidRPr="00000000">
        <w:rPr>
          <w:color w:val="6654d9"/>
          <w:rtl w:val="0"/>
        </w:rPr>
        <w:t xml:space="preserve">Сегменты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Разделение пользователей  по характерным признакам  для анализа метрик по новым  полученным сегментам:</w:t>
      </w:r>
    </w:p>
    <w:p w:rsidR="00000000" w:rsidDel="00000000" w:rsidP="00000000" w:rsidRDefault="00000000" w:rsidRPr="00000000" w14:paraId="000000D2">
      <w:pPr>
        <w:numPr>
          <w:ilvl w:val="0"/>
          <w:numId w:val="2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Демография (пол, возраст)</w:t>
      </w:r>
    </w:p>
    <w:p w:rsidR="00000000" w:rsidDel="00000000" w:rsidP="00000000" w:rsidRDefault="00000000" w:rsidRPr="00000000" w14:paraId="000000D3">
      <w:pPr>
        <w:numPr>
          <w:ilvl w:val="0"/>
          <w:numId w:val="2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Регион</w:t>
      </w:r>
    </w:p>
    <w:p w:rsidR="00000000" w:rsidDel="00000000" w:rsidP="00000000" w:rsidRDefault="00000000" w:rsidRPr="00000000" w14:paraId="000000D4">
      <w:pPr>
        <w:numPr>
          <w:ilvl w:val="0"/>
          <w:numId w:val="2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Поведение</w:t>
      </w:r>
    </w:p>
    <w:p w:rsidR="00000000" w:rsidDel="00000000" w:rsidP="00000000" w:rsidRDefault="00000000" w:rsidRPr="00000000" w14:paraId="000000D5">
      <w:pPr>
        <w:numPr>
          <w:ilvl w:val="0"/>
          <w:numId w:val="2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Ценность для продукта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Сегменты чаще всего используются для оценки аудитории: ее предпочтений,  размера и перспективности улучшений.</w:t>
      </w:r>
    </w:p>
    <w:p w:rsidR="00000000" w:rsidDel="00000000" w:rsidP="00000000" w:rsidRDefault="00000000" w:rsidRPr="00000000" w14:paraId="000000D7">
      <w:pPr>
        <w:pStyle w:val="Heading2"/>
        <w:widowControl w:val="0"/>
        <w:spacing w:after="0" w:before="0" w:line="240" w:lineRule="auto"/>
        <w:rPr/>
      </w:pPr>
      <w:bookmarkStart w:colFirst="0" w:colLast="0" w:name="_jeg8lreo98e7" w:id="25"/>
      <w:bookmarkEnd w:id="25"/>
      <w:r w:rsidDel="00000000" w:rsidR="00000000" w:rsidRPr="00000000">
        <w:rPr>
          <w:rtl w:val="0"/>
        </w:rPr>
        <w:t xml:space="preserve">A/B тестирование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Когортный анализ не всегда достоверно показывает изменения в продукте при внедрении новых фичей</w:t>
      </w:r>
    </w:p>
    <w:p w:rsidR="00000000" w:rsidDel="00000000" w:rsidP="00000000" w:rsidRDefault="00000000" w:rsidRPr="00000000" w14:paraId="000000D9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 изменения могут влиять другие факторы (например, сезонное повышение спроса или государственные праздники)</w:t>
      </w:r>
    </w:p>
    <w:p w:rsidR="00000000" w:rsidDel="00000000" w:rsidP="00000000" w:rsidRDefault="00000000" w:rsidRPr="00000000" w14:paraId="000000DA">
      <w:pPr>
        <w:numPr>
          <w:ilvl w:val="0"/>
          <w:numId w:val="4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Даже если ничего такого не было, связать изменение метрики с изменениями продукта крайне сложно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А/B эксперимент – сравнение двух или более вариантов продукта при параллельном запуске на идентичные группы пользователей. Метод позволяет достаточно точно определять изменение метрик, которые вызваны именно вносимыми продуктовыми изменениями.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А/B тестирование проводится следующим образом:</w:t>
      </w:r>
    </w:p>
    <w:p w:rsidR="00000000" w:rsidDel="00000000" w:rsidP="00000000" w:rsidRDefault="00000000" w:rsidRPr="00000000" w14:paraId="000000DD">
      <w:pPr>
        <w:numPr>
          <w:ilvl w:val="0"/>
          <w:numId w:val="27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Определяем метрики, которые будем отслеживать</w:t>
      </w:r>
    </w:p>
    <w:p w:rsidR="00000000" w:rsidDel="00000000" w:rsidP="00000000" w:rsidRDefault="00000000" w:rsidRPr="00000000" w14:paraId="000000DE">
      <w:pPr>
        <w:numPr>
          <w:ilvl w:val="0"/>
          <w:numId w:val="27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Определяем пользователей, на которых должна повлиять наша фича (например, только новые пользователи или пользователи конкретной фичи)</w:t>
      </w:r>
    </w:p>
    <w:p w:rsidR="00000000" w:rsidDel="00000000" w:rsidP="00000000" w:rsidRDefault="00000000" w:rsidRPr="00000000" w14:paraId="000000DF">
      <w:pPr>
        <w:numPr>
          <w:ilvl w:val="0"/>
          <w:numId w:val="27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Подготавливаем методику спилитования: как будем делить пользователей</w:t>
      </w:r>
    </w:p>
    <w:p w:rsidR="00000000" w:rsidDel="00000000" w:rsidP="00000000" w:rsidRDefault="00000000" w:rsidRPr="00000000" w14:paraId="000000E0">
      <w:pPr>
        <w:numPr>
          <w:ilvl w:val="0"/>
          <w:numId w:val="27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Разделяем пользователей на группы: контрольная (в ней нет изменений) и тестовая (в ней есть наши изменения)</w:t>
      </w:r>
    </w:p>
    <w:p w:rsidR="00000000" w:rsidDel="00000000" w:rsidP="00000000" w:rsidRDefault="00000000" w:rsidRPr="00000000" w14:paraId="000000E1">
      <w:pPr>
        <w:numPr>
          <w:ilvl w:val="0"/>
          <w:numId w:val="27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Замеряем метрики по группам</w:t>
      </w:r>
    </w:p>
    <w:p w:rsidR="00000000" w:rsidDel="00000000" w:rsidP="00000000" w:rsidRDefault="00000000" w:rsidRPr="00000000" w14:paraId="000000E2">
      <w:pPr>
        <w:numPr>
          <w:ilvl w:val="0"/>
          <w:numId w:val="27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Аналитик рассчитывает статистически значимые изменения метрик</w:t>
      </w:r>
    </w:p>
    <w:p w:rsidR="00000000" w:rsidDel="00000000" w:rsidP="00000000" w:rsidRDefault="00000000" w:rsidRPr="00000000" w14:paraId="000000E3">
      <w:pPr>
        <w:numPr>
          <w:ilvl w:val="0"/>
          <w:numId w:val="27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Делаем выводы о влиянии нашей фичи</w:t>
      </w:r>
    </w:p>
    <w:p w:rsidR="00000000" w:rsidDel="00000000" w:rsidP="00000000" w:rsidRDefault="00000000" w:rsidRPr="00000000" w14:paraId="000000E4">
      <w:pPr>
        <w:pStyle w:val="Heading1"/>
        <w:rPr/>
      </w:pPr>
      <w:bookmarkStart w:colFirst="0" w:colLast="0" w:name="_iagc9ha4bgoe" w:id="26"/>
      <w:bookmarkEnd w:id="26"/>
      <w:r w:rsidDel="00000000" w:rsidR="00000000" w:rsidRPr="00000000">
        <w:rPr>
          <w:rtl w:val="0"/>
        </w:rPr>
        <w:t xml:space="preserve">“Ловушки” продуктовых метрик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Рассмотрим распространенные “ловушки” при работе с продуктовыми метриками, которые могут привести к искажению результатов экспериментов и неверным продуктовым решениям:</w:t>
      </w:r>
    </w:p>
    <w:p w:rsidR="00000000" w:rsidDel="00000000" w:rsidP="00000000" w:rsidRDefault="00000000" w:rsidRPr="00000000" w14:paraId="000000E6">
      <w:pPr>
        <w:numPr>
          <w:ilvl w:val="0"/>
          <w:numId w:val="2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Сезонность</w:t>
      </w:r>
    </w:p>
    <w:p w:rsidR="00000000" w:rsidDel="00000000" w:rsidP="00000000" w:rsidRDefault="00000000" w:rsidRPr="00000000" w14:paraId="000000E7">
      <w:pPr>
        <w:numPr>
          <w:ilvl w:val="0"/>
          <w:numId w:val="2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Среднее и медиана</w:t>
      </w:r>
    </w:p>
    <w:p w:rsidR="00000000" w:rsidDel="00000000" w:rsidP="00000000" w:rsidRDefault="00000000" w:rsidRPr="00000000" w14:paraId="000000E8">
      <w:pPr>
        <w:numPr>
          <w:ilvl w:val="0"/>
          <w:numId w:val="2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Процент и процентный пункт </w:t>
      </w:r>
    </w:p>
    <w:p w:rsidR="00000000" w:rsidDel="00000000" w:rsidP="00000000" w:rsidRDefault="00000000" w:rsidRPr="00000000" w14:paraId="000000E9">
      <w:pPr>
        <w:numPr>
          <w:ilvl w:val="0"/>
          <w:numId w:val="2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Корреляция и причинно-следственная связь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Сейчас мы подробно разберем каждое из них и попытаемся понять, почему они важны.</w:t>
      </w:r>
    </w:p>
    <w:p w:rsidR="00000000" w:rsidDel="00000000" w:rsidP="00000000" w:rsidRDefault="00000000" w:rsidRPr="00000000" w14:paraId="000000EB">
      <w:pPr>
        <w:pStyle w:val="Heading2"/>
        <w:rPr/>
      </w:pPr>
      <w:bookmarkStart w:colFirst="0" w:colLast="0" w:name="_5mfid5sw3mpe" w:id="27"/>
      <w:bookmarkEnd w:id="27"/>
      <w:r w:rsidDel="00000000" w:rsidR="00000000" w:rsidRPr="00000000">
        <w:rPr>
          <w:rtl w:val="0"/>
        </w:rPr>
        <w:t xml:space="preserve">Сезонность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br w:type="textWrapping"/>
        <w:t xml:space="preserve">Сезонность характеризуется периодическими колебаниями, которые повторяются каждый сезон по предсказуемой схеме. Они могут быть ежегодными,ежемесячными, еженедельными и даже ежедневными. Например, спрос на новостные ресурсы падает в выходные дни, а в январе у большинства ритейлеров “мертвый сезон”. Чтобы не ошибиться с анализом изменения метрик продукта, в первую очередь при росте или падении проанализируйте, как метрика ведет себя сезон к сезону: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/>
        <w:drawing>
          <wp:inline distB="19050" distT="19050" distL="19050" distR="19050">
            <wp:extent cx="6120000" cy="10414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12189" l="0" r="0" t="35762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Style w:val="Heading2"/>
        <w:widowControl w:val="0"/>
        <w:spacing w:after="0" w:before="0" w:line="240" w:lineRule="auto"/>
        <w:rPr/>
      </w:pPr>
      <w:bookmarkStart w:colFirst="0" w:colLast="0" w:name="_v9hjmzb4xzfc" w:id="28"/>
      <w:bookmarkEnd w:id="28"/>
      <w:r w:rsidDel="00000000" w:rsidR="00000000" w:rsidRPr="00000000">
        <w:rPr>
          <w:rtl w:val="0"/>
        </w:rPr>
        <w:t xml:space="preserve">Среднее и медиана</w:t>
      </w:r>
    </w:p>
    <w:p w:rsidR="00000000" w:rsidDel="00000000" w:rsidP="00000000" w:rsidRDefault="00000000" w:rsidRPr="00000000" w14:paraId="000000EF">
      <w:pPr>
        <w:widowControl w:val="0"/>
        <w:spacing w:after="0" w:before="0" w:line="240" w:lineRule="auto"/>
        <w:rPr>
          <w:rFonts w:ascii="Roboto" w:cs="Roboto" w:eastAsia="Roboto" w:hAnsi="Roboto"/>
          <w:b w:val="1"/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Среднее арифметическое – сумма всех значений выборки, разделенная на их количество. 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Медиана – такое число выборки, что ровно половина из элементов выборки больше него, а другая половина меньше него.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В повседневной жизни мы понятие медиана или медианное значение используется довольно редко, но оно очень полезно для рассмотрения ряда количественных явлений.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Например:</w:t>
      </w:r>
    </w:p>
    <w:p w:rsidR="00000000" w:rsidDel="00000000" w:rsidP="00000000" w:rsidRDefault="00000000" w:rsidRPr="00000000" w14:paraId="000000F4">
      <w:pPr>
        <w:rPr>
          <w:color w:val="6654d9"/>
        </w:rPr>
      </w:pPr>
      <w:r w:rsidDel="00000000" w:rsidR="00000000" w:rsidRPr="00000000">
        <w:rPr>
          <w:color w:val="6654d9"/>
          <w:rtl w:val="0"/>
        </w:rPr>
        <w:t xml:space="preserve">Как соотносятся медиана и среднее, если рассматривать рост жителей Москвы старше 18 лет? 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Медиана и среднее будут примерно равны. Рост людей можно описать нормальным распределением:</w:t>
      </w:r>
    </w:p>
    <w:p w:rsidR="00000000" w:rsidDel="00000000" w:rsidP="00000000" w:rsidRDefault="00000000" w:rsidRPr="00000000" w14:paraId="000000F6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Отклонения от среднего в обе стороны примерно одинаковы</w:t>
      </w:r>
    </w:p>
    <w:p w:rsidR="00000000" w:rsidDel="00000000" w:rsidP="00000000" w:rsidRDefault="00000000" w:rsidRPr="00000000" w14:paraId="000000F7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Сильных выбросов нет 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/>
        <w:drawing>
          <wp:inline distB="19050" distT="19050" distL="19050" distR="19050">
            <wp:extent cx="6120000" cy="37846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color w:val="6654d9"/>
        </w:rPr>
      </w:pPr>
      <w:r w:rsidDel="00000000" w:rsidR="00000000" w:rsidRPr="00000000">
        <w:rPr>
          <w:color w:val="6654d9"/>
          <w:rtl w:val="0"/>
        </w:rPr>
        <w:t xml:space="preserve">Как соотносятся медиана и среднее, если изучать зарплаты москвичей? 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Медиана будет меньше среднего.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Из-за ярко выраженных всплесков, например зарплаты в 2 миллиона рублей, среднее значение будет значительно смещено. 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/>
        <w:drawing>
          <wp:inline distB="19050" distT="19050" distL="19050" distR="19050">
            <wp:extent cx="6120000" cy="31369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Нужно очень осторожно пользоваться средними значениями при работе с данными. Иногда использование среднего арифметического может ввести в заблуждение,  поскольку появление одного очень большого или очень маленького значения может “потянуть за собой” всю метрику. Способ легко себя проверить - построить график и посмотреть как распределены изучаемые значения.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При сильных отклонениях лучше использовать медиану.</w:t>
      </w:r>
    </w:p>
    <w:p w:rsidR="00000000" w:rsidDel="00000000" w:rsidP="00000000" w:rsidRDefault="00000000" w:rsidRPr="00000000" w14:paraId="000000FF">
      <w:pPr>
        <w:pStyle w:val="Heading2"/>
        <w:rPr/>
      </w:pPr>
      <w:bookmarkStart w:colFirst="0" w:colLast="0" w:name="_12vjesnyze22" w:id="29"/>
      <w:bookmarkEnd w:id="29"/>
      <w:r w:rsidDel="00000000" w:rsidR="00000000" w:rsidRPr="00000000">
        <w:rPr>
          <w:rtl w:val="0"/>
        </w:rPr>
        <w:t xml:space="preserve">Процент и процентный пункт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Процент – сотая часть, используются для описания доли по отношению к целому. 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Процентный пункт – показатель изменения величины, выраженной в процентах, который описывает разность между новым и старым значением этой величины. </w:t>
        <w:br w:type="textWrapping"/>
        <w:t xml:space="preserve">У нас есть сайт по продаже надувных диванов.</w:t>
      </w:r>
    </w:p>
    <w:p w:rsidR="00000000" w:rsidDel="00000000" w:rsidP="00000000" w:rsidRDefault="00000000" w:rsidRPr="00000000" w14:paraId="00000102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Конверсия в заказ была равна 10% , после изменений стала 12%</w:t>
      </w:r>
    </w:p>
    <w:p w:rsidR="00000000" w:rsidDel="00000000" w:rsidP="00000000" w:rsidRDefault="00000000" w:rsidRPr="00000000" w14:paraId="00000103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Изменения на 2 процентных пункта</w:t>
      </w:r>
    </w:p>
    <w:p w:rsidR="00000000" w:rsidDel="00000000" w:rsidP="00000000" w:rsidRDefault="00000000" w:rsidRPr="00000000" w14:paraId="00000104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Рост на 20%</w:t>
      </w:r>
    </w:p>
    <w:p w:rsidR="00000000" w:rsidDel="00000000" w:rsidP="00000000" w:rsidRDefault="00000000" w:rsidRPr="00000000" w14:paraId="00000105">
      <w:pPr>
        <w:ind w:left="0" w:firstLine="0"/>
        <w:rPr/>
      </w:pPr>
      <w:r w:rsidDel="00000000" w:rsidR="00000000" w:rsidRPr="00000000">
        <w:rPr>
          <w:rtl w:val="0"/>
        </w:rPr>
        <w:t xml:space="preserve">Если раньше из 10000 человек до заказа доходило 1000, то теперь – 1200.</w:t>
      </w:r>
    </w:p>
    <w:p w:rsidR="00000000" w:rsidDel="00000000" w:rsidP="00000000" w:rsidRDefault="00000000" w:rsidRPr="00000000" w14:paraId="00000106">
      <w:pPr>
        <w:pStyle w:val="Heading2"/>
        <w:widowControl w:val="0"/>
        <w:spacing w:after="0" w:before="0" w:line="216" w:lineRule="auto"/>
        <w:rPr/>
      </w:pPr>
      <w:bookmarkStart w:colFirst="0" w:colLast="0" w:name="_yr20ni8blza2" w:id="30"/>
      <w:bookmarkEnd w:id="30"/>
      <w:r w:rsidDel="00000000" w:rsidR="00000000" w:rsidRPr="00000000">
        <w:rPr>
          <w:rtl w:val="0"/>
        </w:rPr>
        <w:t xml:space="preserve">Корреляция и причинно-следственная связь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Корреляция – связь величин, при которой изменение одной из них сопутствует систематическому изменению другой.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А причинно-следственная связь (на английском causation/causality) – связь величин, при которой изменение одной величины напрямую влечет изменение другой.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Если между переменными есть причинно-следственная связь, то между ними точно будет корреляция. Обратное неверно. 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Например: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Достоверное известно, что в большинстве стран с доступным высшим образованием продолжительность жизни тоже несколько больше.</w:t>
      </w:r>
    </w:p>
    <w:p w:rsidR="00000000" w:rsidDel="00000000" w:rsidP="00000000" w:rsidRDefault="00000000" w:rsidRPr="00000000" w14:paraId="0000010E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Доступное высшее образование коррелирует с продолжительностью жизни?</w:t>
      </w:r>
    </w:p>
    <w:p w:rsidR="00000000" w:rsidDel="00000000" w:rsidP="00000000" w:rsidRDefault="00000000" w:rsidRPr="00000000" w14:paraId="0000010F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Доступное высшее образование удлиняет жизнь?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На самом деле высокие показатели продолжительности жизни и наличие высокой доли луюей с высшем образованиям </w:t>
      </w:r>
      <w:r w:rsidDel="00000000" w:rsidR="00000000" w:rsidRPr="00000000">
        <w:rPr>
          <w:sz w:val="18"/>
          <w:szCs w:val="18"/>
          <w:rtl w:val="0"/>
        </w:rPr>
        <w:t xml:space="preserve">—</w:t>
      </w:r>
      <w:r w:rsidDel="00000000" w:rsidR="00000000" w:rsidRPr="00000000">
        <w:rPr>
          <w:rtl w:val="0"/>
        </w:rPr>
        <w:t xml:space="preserve"> следствие высокого уровня экономического развития: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/>
        <w:drawing>
          <wp:inline distB="19050" distT="19050" distL="19050" distR="19050">
            <wp:extent cx="6120000" cy="23495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Очень важно четко различать корреляцию и причинно-следственную связь. Если между переменными наблюдается корреляция, то причинно-следственной связи может не существовать.</w:t>
      </w:r>
    </w:p>
    <w:p w:rsidR="00000000" w:rsidDel="00000000" w:rsidP="00000000" w:rsidRDefault="00000000" w:rsidRPr="00000000" w14:paraId="00000114">
      <w:pPr>
        <w:pStyle w:val="Heading1"/>
        <w:spacing w:after="120" w:before="200" w:lineRule="auto"/>
        <w:rPr/>
      </w:pPr>
      <w:bookmarkStart w:colFirst="0" w:colLast="0" w:name="_2q29132lqdf0" w:id="31"/>
      <w:bookmarkEnd w:id="31"/>
      <w:r w:rsidDel="00000000" w:rsidR="00000000" w:rsidRPr="00000000">
        <w:rPr>
          <w:rtl w:val="0"/>
        </w:rPr>
        <w:t xml:space="preserve">Используемые источники </w:t>
      </w:r>
    </w:p>
    <w:p w:rsidR="00000000" w:rsidDel="00000000" w:rsidP="00000000" w:rsidRDefault="00000000" w:rsidRPr="00000000" w14:paraId="00000115">
      <w:pPr>
        <w:spacing w:after="160" w:before="0" w:line="259" w:lineRule="auto"/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Статья “</w:t>
      </w:r>
      <w:hyperlink r:id="rId18">
        <w:r w:rsidDel="00000000" w:rsidR="00000000" w:rsidRPr="00000000">
          <w:rPr>
            <w:color w:val="fc2c38"/>
            <w:u w:val="single"/>
            <w:rtl w:val="0"/>
          </w:rPr>
          <w:t xml:space="preserve">The Top 20 Reasons Startups Fail</w:t>
        </w:r>
      </w:hyperlink>
      <w:r w:rsidDel="00000000" w:rsidR="00000000" w:rsidRPr="00000000">
        <w:rPr>
          <w:rtl w:val="0"/>
        </w:rPr>
        <w:t xml:space="preserve">”</w:t>
      </w:r>
    </w:p>
    <w:p w:rsidR="00000000" w:rsidDel="00000000" w:rsidP="00000000" w:rsidRDefault="00000000" w:rsidRPr="00000000" w14:paraId="00000117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Статья “</w:t>
      </w:r>
      <w:hyperlink r:id="rId19">
        <w:r w:rsidDel="00000000" w:rsidR="00000000" w:rsidRPr="00000000">
          <w:rPr>
            <w:color w:val="fc2c38"/>
            <w:u w:val="single"/>
            <w:rtl w:val="0"/>
          </w:rPr>
          <w:t xml:space="preserve">Ecommerce Business Failure Rate at 90% After 120 Days – How to Avoid It With Your Business</w:t>
        </w:r>
      </w:hyperlink>
      <w:r w:rsidDel="00000000" w:rsidR="00000000" w:rsidRPr="00000000">
        <w:rPr>
          <w:rtl w:val="0"/>
        </w:rPr>
        <w:t xml:space="preserve">”</w:t>
      </w:r>
    </w:p>
    <w:p w:rsidR="00000000" w:rsidDel="00000000" w:rsidP="00000000" w:rsidRDefault="00000000" w:rsidRPr="00000000" w14:paraId="00000118">
      <w:pPr>
        <w:pStyle w:val="Heading1"/>
        <w:rPr/>
      </w:pPr>
      <w:bookmarkStart w:colFirst="0" w:colLast="0" w:name="_s3t25eina7ax" w:id="32"/>
      <w:bookmarkEnd w:id="32"/>
      <w:r w:rsidDel="00000000" w:rsidR="00000000" w:rsidRPr="00000000">
        <w:rPr>
          <w:rtl w:val="0"/>
        </w:rPr>
        <w:t xml:space="preserve">Практическое задание</w:t>
      </w:r>
    </w:p>
    <w:p w:rsidR="00000000" w:rsidDel="00000000" w:rsidP="00000000" w:rsidRDefault="00000000" w:rsidRPr="00000000" w14:paraId="00000119">
      <w:pPr>
        <w:numPr>
          <w:ilvl w:val="0"/>
          <w:numId w:val="16"/>
        </w:numPr>
        <w:spacing w:after="0" w:afterAutospacing="0"/>
        <w:ind w:left="720" w:hanging="360"/>
        <w:rPr>
          <w:color w:val="2c2d30"/>
        </w:rPr>
      </w:pPr>
      <w:r w:rsidDel="00000000" w:rsidR="00000000" w:rsidRPr="00000000">
        <w:rPr>
          <w:rtl w:val="0"/>
        </w:rPr>
        <w:t xml:space="preserve">Выбрать продукт (можно работать со своей идеей или взять любой продукт, которым пользуетесь ежедневно)</w:t>
      </w:r>
    </w:p>
    <w:p w:rsidR="00000000" w:rsidDel="00000000" w:rsidP="00000000" w:rsidRDefault="00000000" w:rsidRPr="00000000" w14:paraId="0000011A">
      <w:pPr>
        <w:widowControl w:val="0"/>
        <w:numPr>
          <w:ilvl w:val="0"/>
          <w:numId w:val="16"/>
        </w:numPr>
        <w:spacing w:after="0" w:before="0" w:line="240" w:lineRule="auto"/>
        <w:ind w:left="720" w:hanging="360"/>
        <w:rPr>
          <w:color w:val="2c2d30"/>
        </w:rPr>
      </w:pPr>
      <w:r w:rsidDel="00000000" w:rsidR="00000000" w:rsidRPr="00000000">
        <w:rPr>
          <w:rtl w:val="0"/>
        </w:rPr>
        <w:t xml:space="preserve">С учетом полученной на занятии информации, опишите метрики для каждого шага построенной вами CJM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widowControl w:val="0"/>
        <w:spacing w:after="0" w:before="0"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widowControl w:val="0"/>
        <w:spacing w:after="0" w:before="0" w:line="240" w:lineRule="auto"/>
        <w:rPr/>
      </w:pPr>
      <w:hyperlink r:id="rId20">
        <w:r w:rsidDel="00000000" w:rsidR="00000000" w:rsidRPr="00000000">
          <w:rPr>
            <w:color w:val="e7373e"/>
            <w:u w:val="single"/>
            <w:rtl w:val="0"/>
          </w:rPr>
          <w:t xml:space="preserve">Шаблон домашнего задания</w:t>
        </w:r>
      </w:hyperlink>
      <w:r w:rsidDel="00000000" w:rsidR="00000000" w:rsidRPr="00000000">
        <w:rPr>
          <w:rtl w:val="0"/>
        </w:rPr>
      </w:r>
    </w:p>
    <w:sectPr>
      <w:headerReference r:id="rId21" w:type="default"/>
      <w:headerReference r:id="rId22" w:type="first"/>
      <w:footerReference r:id="rId23" w:type="default"/>
      <w:footerReference r:id="rId24" w:type="first"/>
      <w:pgSz w:h="16838" w:w="11906" w:orient="portrait"/>
      <w:pgMar w:bottom="1133.8582677165355" w:top="1133.8582677165355" w:left="1133.8582677165355" w:right="1133.8582677165355" w:header="0" w:footer="720.0000000000001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IBM Plex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BM Plex Sans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1">
    <w:pPr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</w:r>
  </w:p>
  <w:p w:rsidR="00000000" w:rsidDel="00000000" w:rsidP="00000000" w:rsidRDefault="00000000" w:rsidRPr="00000000" w14:paraId="00000122">
    <w:pPr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color w:val="abb1b9"/>
        <w:sz w:val="16"/>
        <w:szCs w:val="16"/>
        <w:rtl w:val="0"/>
      </w:rPr>
      <w:t xml:space="preserve"> 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  <w:tab/>
      <w:tab/>
      <w:tab/>
      <w:tab/>
      <w:tab/>
      <w:tab/>
      <w:tab/>
      <w:tab/>
      <w:tab/>
      <w:tab/>
      <w:tab/>
    </w:r>
    <w:r w:rsidDel="00000000" w:rsidR="00000000" w:rsidRPr="00000000">
      <w:rPr>
        <w:color w:val="abb1b9"/>
        <w:sz w:val="16"/>
        <w:szCs w:val="1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D">
    <w:pPr>
      <w:rPr/>
    </w:pPr>
    <w:r w:rsidDel="00000000" w:rsidR="00000000" w:rsidRPr="00000000">
      <w:rPr/>
      <w:drawing>
        <wp:anchor allowOverlap="1" behindDoc="0" distB="114300" distT="114300" distL="114300" distR="114300" hidden="0" layoutInCell="1" locked="0" relativeHeight="0" simplePos="0">
          <wp:simplePos x="0" y="0"/>
          <wp:positionH relativeFrom="margin">
            <wp:posOffset>0</wp:posOffset>
          </wp:positionH>
          <wp:positionV relativeFrom="margin">
            <wp:posOffset>-591899</wp:posOffset>
          </wp:positionV>
          <wp:extent cx="1051650" cy="438150"/>
          <wp:effectExtent b="0" l="0" r="0" t="0"/>
          <wp:wrapSquare wrapText="bothSides" distB="114300" distT="114300" distL="114300" distR="114300"/>
          <wp:docPr id="7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0" l="0" r="36546" t="-11325"/>
                  <a:stretch>
                    <a:fillRect/>
                  </a:stretch>
                </pic:blipFill>
                <pic:spPr>
                  <a:xfrm>
                    <a:off x="0" y="0"/>
                    <a:ext cx="1051650" cy="4381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1E">
    <w:pPr>
      <w:ind w:right="-1140"/>
      <w:rPr>
        <w:sz w:val="28"/>
        <w:szCs w:val="28"/>
      </w:rPr>
    </w:pPr>
    <w:r w:rsidDel="00000000" w:rsidR="00000000" w:rsidRPr="00000000">
      <w:rPr>
        <w:rFonts w:ascii="IBM Plex Sans Medium" w:cs="IBM Plex Sans Medium" w:eastAsia="IBM Plex Sans Medium" w:hAnsi="IBM Plex Sans Medium"/>
        <w:color w:val="000000"/>
        <w:sz w:val="28"/>
        <w:szCs w:val="28"/>
        <w:rtl w:val="0"/>
      </w:rPr>
      <w:t xml:space="preserve">                                                              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>
        <w:rFonts w:ascii="Roboto" w:cs="Roboto" w:eastAsia="Roboto" w:hAnsi="Roboto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0">
    <w:pPr>
      <w:rPr>
        <w:rFonts w:ascii="Roboto" w:cs="Roboto" w:eastAsia="Roboto" w:hAnsi="Roboto"/>
        <w:sz w:val="14"/>
        <w:szCs w:val="14"/>
      </w:rPr>
    </w:pPr>
    <w:r w:rsidDel="00000000" w:rsidR="00000000" w:rsidRPr="00000000">
      <w:rPr>
        <w:color w:val="9698a6"/>
      </w:rPr>
      <mc:AlternateContent>
        <mc:Choice Requires="wpg">
          <w:drawing>
            <wp:inline distB="114300" distT="114300" distL="114300" distR="114300">
              <wp:extent cx="139500" cy="90000"/>
              <wp:effectExtent b="0" l="0" r="0" t="0"/>
              <wp:docPr id="2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39500" cy="90000"/>
                        <a:chOff x="0" y="0"/>
                        <a:chExt cx="4293574" cy="2702800"/>
                      </a:xfrm>
                    </wpg:grpSpPr>
                    <wps:wsp>
                      <wps:cNvSpPr/>
                      <wps:cNvPr id="2" name="Shape 2"/>
                      <wps:spPr>
                        <a:xfrm>
                          <a:off x="0" y="0"/>
                          <a:ext cx="2702700" cy="2702700"/>
                        </a:xfrm>
                        <a:prstGeom prst="ellipse">
                          <a:avLst/>
                        </a:prstGeom>
                        <a:solidFill>
                          <a:srgbClr val="6339E6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3" name="Shape 3"/>
                      <wps:spPr>
                        <a:xfrm>
                          <a:off x="1590874" y="100"/>
                          <a:ext cx="2702700" cy="2702700"/>
                        </a:xfrm>
                        <a:prstGeom prst="diamond">
                          <a:avLst/>
                        </a:prstGeom>
                        <a:solidFill>
                          <a:srgbClr val="B5A6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wpg:wgp>
                </a:graphicData>
              </a:graphic>
            </wp:inline>
          </w:drawing>
        </mc:Choice>
        <mc:Fallback>
          <w:drawing>
            <wp:inline distB="114300" distT="114300" distL="114300" distR="114300">
              <wp:extent cx="139500" cy="90000"/>
              <wp:effectExtent b="0" l="0" r="0" t="0"/>
              <wp:docPr id="2" name="image12.png"/>
              <a:graphic>
                <a:graphicData uri="http://schemas.openxmlformats.org/drawingml/2006/picture">
                  <pic:pic>
                    <pic:nvPicPr>
                      <pic:cNvPr id="0" name="image1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9500" cy="900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mc:Fallback>
      </mc:AlternateContent>
    </w:r>
    <w:r w:rsidDel="00000000" w:rsidR="00000000" w:rsidRPr="00000000">
      <w:rPr>
        <w:color w:val="9698a6"/>
        <w:rtl w:val="0"/>
      </w:rPr>
      <w:t xml:space="preserve"> </w:t>
    </w:r>
    <w:r w:rsidDel="00000000" w:rsidR="00000000" w:rsidRPr="00000000">
      <w:rPr>
        <w:rFonts w:ascii="IBM Plex Sans Medium" w:cs="IBM Plex Sans Medium" w:eastAsia="IBM Plex Sans Medium" w:hAnsi="IBM Plex Sans Medium"/>
        <w:color w:val="000000"/>
        <w:sz w:val="20"/>
        <w:szCs w:val="20"/>
        <w:rtl w:val="0"/>
      </w:rPr>
      <w:t xml:space="preserve">Основы управления продуктом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IBM Plex Sans" w:cs="IBM Plex Sans" w:eastAsia="IBM Plex Sans" w:hAnsi="IBM Plex Sans"/>
        <w:color w:val="2c2d30"/>
        <w:sz w:val="22"/>
        <w:szCs w:val="22"/>
        <w:lang w:val="en"/>
      </w:rPr>
    </w:rPrDefault>
    <w:pPrDefault>
      <w:pPr>
        <w:spacing w:after="200" w:before="200" w:line="30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320" w:before="640" w:line="240" w:lineRule="auto"/>
    </w:pPr>
    <w:rPr>
      <w:b w:val="1"/>
      <w:color w:val="000000"/>
      <w:sz w:val="44"/>
      <w:szCs w:val="44"/>
    </w:rPr>
  </w:style>
  <w:style w:type="paragraph" w:styleId="Heading2">
    <w:name w:val="heading 2"/>
    <w:basedOn w:val="Normal"/>
    <w:next w:val="Normal"/>
    <w:pPr>
      <w:keepNext w:val="1"/>
      <w:keepLines w:val="1"/>
      <w:spacing w:before="320" w:line="240" w:lineRule="auto"/>
    </w:pPr>
    <w:rPr>
      <w:b w:val="1"/>
      <w:color w:val="00000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120" w:before="360" w:line="24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before="0" w:line="240" w:lineRule="auto"/>
      <w:ind w:right="-1140"/>
    </w:pPr>
    <w:rPr>
      <w:b w:val="1"/>
      <w:color w:val="000000"/>
      <w:sz w:val="96"/>
      <w:szCs w:val="96"/>
      <w:highlight w:val="white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0" w:line="240" w:lineRule="auto"/>
    </w:pPr>
    <w:rPr>
      <w:rFonts w:ascii="IBM Plex Sans Medium" w:cs="IBM Plex Sans Medium" w:eastAsia="IBM Plex Sans Medium" w:hAnsi="IBM Plex Sans Medium"/>
      <w:color w:val="000000"/>
      <w:sz w:val="32"/>
      <w:szCs w:val="32"/>
    </w:rPr>
  </w:style>
  <w:style w:type="table" w:styleId="Table1">
    <w:basedOn w:val="TableNormal"/>
    <w:pPr/>
    <w:rPr>
      <w:rFonts w:ascii="Times New Roman" w:cs="Times New Roman" w:eastAsia="Times New Roman" w:hAnsi="Times New Roman"/>
      <w:b w:val="0"/>
      <w:i w:val="0"/>
      <w:color w:val="000000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e8ebf5" w:val="clear"/>
    </w:tcPr>
    <w:tblStylePr w:type="band1Horz">
      <w:pPr/>
      <w:rPr/>
      <w:tcPr>
        <w:shd w:fill="cdd4ea" w:val="clear"/>
      </w:tcPr>
    </w:tblStylePr>
    <w:tblStylePr w:type="band1Vert">
      <w:pPr/>
      <w:rPr/>
      <w:tcPr>
        <w:shd w:fill="cdd4ea" w:val="clear"/>
      </w:tcPr>
    </w:tblStylePr>
    <w:tblStylePr w:type="band2Horz">
      <w:pPr/>
      <w:rPr/>
      <w:tcPr/>
    </w:tblStylePr>
    <w:tblStylePr w:type="band2Vert">
      <w:pPr/>
      <w:rPr/>
      <w:tcPr/>
    </w:tblStylePr>
    <w:tblStylePr w:type="firstCol">
      <w:pPr/>
      <w:rPr>
        <w:rFonts w:ascii="Times New Roman" w:cs="Times New Roman" w:eastAsia="Times New Roman" w:hAnsi="Times New Roman"/>
        <w:b w:val="1"/>
        <w:i w:val="0"/>
        <w:color w:val="ffffff"/>
      </w:rPr>
      <w:tcPr>
        <w:shd w:fill="4472c4" w:val="clear"/>
      </w:tcPr>
    </w:tblStylePr>
    <w:tblStylePr w:type="firstRow">
      <w:pPr/>
      <w:rPr>
        <w:rFonts w:ascii="Times New Roman" w:cs="Times New Roman" w:eastAsia="Times New Roman" w:hAnsi="Times New Roman"/>
        <w:b w:val="1"/>
        <w:i w:val="0"/>
        <w:color w:val="ffffff"/>
      </w:rPr>
      <w:tcPr>
        <w:tcBorders>
          <w:bottom w:color="ffffff" w:space="0" w:sz="24" w:val="single"/>
        </w:tcBorders>
        <w:shd w:fill="4472c4" w:val="clear"/>
      </w:tcPr>
    </w:tblStylePr>
    <w:tblStylePr w:type="lastCol">
      <w:pPr/>
      <w:rPr>
        <w:rFonts w:ascii="Times New Roman" w:cs="Times New Roman" w:eastAsia="Times New Roman" w:hAnsi="Times New Roman"/>
        <w:b w:val="1"/>
        <w:i w:val="0"/>
        <w:color w:val="ffffff"/>
      </w:rPr>
      <w:tcPr>
        <w:shd w:fill="4472c4" w:val="clear"/>
      </w:tcPr>
    </w:tblStylePr>
    <w:tblStylePr w:type="lastRow">
      <w:pPr/>
      <w:rPr>
        <w:rFonts w:ascii="Times New Roman" w:cs="Times New Roman" w:eastAsia="Times New Roman" w:hAnsi="Times New Roman"/>
        <w:b w:val="1"/>
        <w:i w:val="0"/>
        <w:color w:val="ffffff"/>
      </w:rPr>
      <w:tcPr>
        <w:tcBorders>
          <w:top w:color="ffffff" w:space="0" w:sz="24" w:val="single"/>
        </w:tcBorders>
        <w:shd w:fill="4472c4" w:val="clear"/>
      </w:tcPr>
    </w:tblStylePr>
    <w:tblStylePr w:type="neCell">
      <w:pPr/>
      <w:rPr/>
      <w:tcPr/>
    </w:tblStylePr>
    <w:tblStylePr w:type="nwCell">
      <w:pPr/>
      <w:rPr/>
      <w:tcPr/>
    </w:tblStylePr>
    <w:tblStylePr w:type="seCell">
      <w:pPr/>
      <w:rPr/>
      <w:tcPr/>
    </w:tblStylePr>
    <w:tblStylePr w:type="swCell">
      <w:pPr/>
      <w:rPr/>
      <w:tcPr/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docs.google.com/spreadsheets/d/1jXjCvuHQaKc2rI2NvnmZDO_6wOvwk1mwL_vsOwlKKVw/edit?usp=sharing" TargetMode="External"/><Relationship Id="rId11" Type="http://schemas.openxmlformats.org/officeDocument/2006/relationships/image" Target="media/image2.png"/><Relationship Id="rId22" Type="http://schemas.openxmlformats.org/officeDocument/2006/relationships/header" Target="header1.xml"/><Relationship Id="rId10" Type="http://schemas.openxmlformats.org/officeDocument/2006/relationships/image" Target="media/image7.png"/><Relationship Id="rId21" Type="http://schemas.openxmlformats.org/officeDocument/2006/relationships/header" Target="header2.xml"/><Relationship Id="rId13" Type="http://schemas.openxmlformats.org/officeDocument/2006/relationships/image" Target="media/image4.png"/><Relationship Id="rId24" Type="http://schemas.openxmlformats.org/officeDocument/2006/relationships/footer" Target="footer1.xml"/><Relationship Id="rId12" Type="http://schemas.openxmlformats.org/officeDocument/2006/relationships/image" Target="media/image8.png"/><Relationship Id="rId23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smallbiztrends.com/2019/07/why-ecommerce-fails.html" TargetMode="External"/><Relationship Id="rId15" Type="http://schemas.openxmlformats.org/officeDocument/2006/relationships/image" Target="media/image3.png"/><Relationship Id="rId14" Type="http://schemas.openxmlformats.org/officeDocument/2006/relationships/image" Target="media/image10.png"/><Relationship Id="rId17" Type="http://schemas.openxmlformats.org/officeDocument/2006/relationships/image" Target="media/image1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hyperlink" Target="https://smallbiztrends.com/2019/07/why-ecommerce-fails.html" TargetMode="External"/><Relationship Id="rId6" Type="http://schemas.openxmlformats.org/officeDocument/2006/relationships/image" Target="media/image11.png"/><Relationship Id="rId18" Type="http://schemas.openxmlformats.org/officeDocument/2006/relationships/hyperlink" Target="https://www.cbinsights.com/research/startup-failure-reasons-top/" TargetMode="External"/><Relationship Id="rId7" Type="http://schemas.openxmlformats.org/officeDocument/2006/relationships/image" Target="media/image9.png"/><Relationship Id="rId8" Type="http://schemas.openxmlformats.org/officeDocument/2006/relationships/hyperlink" Target="https://www.cbinsights.com/research/startup-failure-reasons-top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BMPlexSans-regular.ttf"/><Relationship Id="rId2" Type="http://schemas.openxmlformats.org/officeDocument/2006/relationships/font" Target="fonts/IBMPlexSans-bold.ttf"/><Relationship Id="rId3" Type="http://schemas.openxmlformats.org/officeDocument/2006/relationships/font" Target="fonts/IBMPlexSans-italic.ttf"/><Relationship Id="rId4" Type="http://schemas.openxmlformats.org/officeDocument/2006/relationships/font" Target="fonts/IBMPlexSans-boldItalic.ttf"/><Relationship Id="rId11" Type="http://schemas.openxmlformats.org/officeDocument/2006/relationships/font" Target="fonts/IBMPlexSansMedium-italic.ttf"/><Relationship Id="rId10" Type="http://schemas.openxmlformats.org/officeDocument/2006/relationships/font" Target="fonts/IBMPlexSansMedium-bold.ttf"/><Relationship Id="rId12" Type="http://schemas.openxmlformats.org/officeDocument/2006/relationships/font" Target="fonts/IBMPlexSansMedium-boldItalic.ttf"/><Relationship Id="rId9" Type="http://schemas.openxmlformats.org/officeDocument/2006/relationships/font" Target="fonts/IBMPlexSansMedium-regular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