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jc w:val="both"/>
        <w:rPr>
          <w:rFonts w:ascii="IBM Plex Sans" w:cs="IBM Plex Sans" w:eastAsia="IBM Plex Sans" w:hAnsi="IBM Plex Sans"/>
          <w:color w:val="6654d9"/>
          <w:sz w:val="34"/>
          <w:szCs w:val="34"/>
        </w:rPr>
      </w:pPr>
      <w:r w:rsidDel="00000000" w:rsidR="00000000" w:rsidRPr="00000000">
        <w:rPr>
          <w:rFonts w:ascii="IBM Plex Sans" w:cs="IBM Plex Sans" w:eastAsia="IBM Plex Sans" w:hAnsi="IBM Plex Sans"/>
          <w:color w:val="6654d9"/>
          <w:sz w:val="34"/>
          <w:szCs w:val="34"/>
          <w:rtl w:val="0"/>
        </w:rPr>
        <w:t xml:space="preserve">Планирование и ведение проекта</w:t>
      </w:r>
    </w:p>
    <w:p w:rsidR="00000000" w:rsidDel="00000000" w:rsidP="00000000" w:rsidRDefault="00000000" w:rsidRPr="00000000" w14:paraId="00000002">
      <w:pPr>
        <w:pageBreakBefore w:val="0"/>
        <w:spacing w:after="80" w:line="240" w:lineRule="auto"/>
        <w:jc w:val="left"/>
        <w:rPr>
          <w:rFonts w:ascii="IBM Plex Sans" w:cs="IBM Plex Sans" w:eastAsia="IBM Plex Sans" w:hAnsi="IBM Plex Sans"/>
          <w:b w:val="1"/>
          <w:color w:val="6654d9"/>
          <w:sz w:val="98"/>
          <w:szCs w:val="9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6654d9"/>
          <w:sz w:val="98"/>
          <w:szCs w:val="98"/>
          <w:rtl w:val="0"/>
        </w:rPr>
        <w:t xml:space="preserve">Планирование проекта.</w:t>
      </w:r>
    </w:p>
    <w:p w:rsidR="00000000" w:rsidDel="00000000" w:rsidP="00000000" w:rsidRDefault="00000000" w:rsidRPr="00000000" w14:paraId="00000003">
      <w:pPr>
        <w:pageBreakBefore w:val="0"/>
        <w:spacing w:after="80" w:line="240" w:lineRule="auto"/>
        <w:jc w:val="left"/>
        <w:rPr>
          <w:rFonts w:ascii="IBM Plex Sans" w:cs="IBM Plex Sans" w:eastAsia="IBM Plex Sans" w:hAnsi="IBM Plex Sans"/>
          <w:b w:val="1"/>
          <w:color w:val="6654d9"/>
          <w:sz w:val="98"/>
          <w:szCs w:val="9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6654d9"/>
          <w:sz w:val="98"/>
          <w:szCs w:val="98"/>
          <w:rtl w:val="0"/>
        </w:rPr>
        <w:t xml:space="preserve">Формирование</w:t>
      </w:r>
      <w:r w:rsidDel="00000000" w:rsidR="00000000" w:rsidRPr="00000000">
        <w:rPr>
          <w:b w:val="1"/>
          <w:color w:val="6654d9"/>
          <w:sz w:val="98"/>
          <w:szCs w:val="98"/>
          <w:rtl w:val="0"/>
        </w:rPr>
        <w:t xml:space="preserve"> </w:t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color w:val="6654d9"/>
          <w:sz w:val="98"/>
          <w:szCs w:val="98"/>
          <w:rtl w:val="0"/>
        </w:rPr>
        <w:t xml:space="preserve">и</w:t>
      </w:r>
      <w:r w:rsidDel="00000000" w:rsidR="00000000" w:rsidRPr="00000000">
        <w:rPr>
          <w:b w:val="1"/>
          <w:color w:val="6654d9"/>
          <w:sz w:val="98"/>
          <w:szCs w:val="98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b w:val="1"/>
          <w:color w:val="6654d9"/>
          <w:sz w:val="98"/>
          <w:szCs w:val="98"/>
          <w:rtl w:val="0"/>
        </w:rPr>
        <w:t xml:space="preserve">утверждение Scope проекта</w:t>
      </w:r>
    </w:p>
    <w:p w:rsidR="00000000" w:rsidDel="00000000" w:rsidP="00000000" w:rsidRDefault="00000000" w:rsidRPr="00000000" w14:paraId="00000004">
      <w:pPr>
        <w:pageBreakBefore w:val="0"/>
        <w:spacing w:after="80" w:lineRule="auto"/>
        <w:jc w:val="both"/>
        <w:rPr>
          <w:rFonts w:ascii="IBM Plex Sans" w:cs="IBM Plex Sans" w:eastAsia="IBM Plex Sans" w:hAnsi="IBM Plex Sans"/>
          <w:b w:val="1"/>
          <w:color w:val="6654d9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6654d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IBM Plex Sans" w:cs="IBM Plex Sans" w:eastAsia="IBM Plex Sans" w:hAnsi="IBM Plex Sans"/>
          <w:color w:val="2c2d30"/>
          <w:sz w:val="24"/>
          <w:szCs w:val="24"/>
        </w:rPr>
      </w:pPr>
      <w:bookmarkStart w:colFirst="0" w:colLast="0" w:name="_vxfxnnejitm7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sz w:val="42"/>
          <w:szCs w:val="42"/>
          <w:rtl w:val="0"/>
        </w:rPr>
        <w:t xml:space="preserve">На этом уроке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="327.27272727272725" w:lineRule="auto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color w:val="2c2d30"/>
          <w:sz w:val="24"/>
          <w:szCs w:val="24"/>
          <w:rtl w:val="0"/>
        </w:rPr>
        <w:t xml:space="preserve">На уроке нам предстоит продолжение знакомства с фазой проекта Планирование. Разберем оценку длительности работ, приоритезацию работ, оценку стоимости.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spacing w:after="200" w:before="200" w:line="327.27272727272725" w:lineRule="auto"/>
        <w:jc w:val="both"/>
        <w:rPr>
          <w:rFonts w:ascii="IBM Plex Sans" w:cs="IBM Plex Sans" w:eastAsia="IBM Plex Sans" w:hAnsi="IBM Plex Sans"/>
          <w:b w:val="1"/>
          <w:sz w:val="34"/>
          <w:szCs w:val="34"/>
        </w:rPr>
      </w:pPr>
      <w:bookmarkStart w:colFirst="0" w:colLast="0" w:name="_3qbf9j6jgh6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sz w:val="34"/>
          <w:szCs w:val="34"/>
          <w:rtl w:val="0"/>
        </w:rPr>
        <w:t xml:space="preserve">Фаза Планирование</w:t>
      </w:r>
    </w:p>
    <w:p w:rsidR="00000000" w:rsidDel="00000000" w:rsidP="00000000" w:rsidRDefault="00000000" w:rsidRPr="00000000" w14:paraId="00000009">
      <w:pPr>
        <w:pageBreakBefore w:val="0"/>
        <w:spacing w:after="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Планирование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(как фаза проекта) - это процессы, направленные на определение scope проекта, выявления целей и указания направления действий, должных привести проект к реализации заявленных целей.</w:t>
      </w:r>
    </w:p>
    <w:p w:rsidR="00000000" w:rsidDel="00000000" w:rsidP="00000000" w:rsidRDefault="00000000" w:rsidRPr="00000000" w14:paraId="0000000A">
      <w:pPr>
        <w:pageBreakBefore w:val="0"/>
        <w:spacing w:after="8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Фаза Планирование, шаг Формирование и утверждение Scope, включает: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оценка и приоритезация требований по продукту;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80" w:before="0" w:beforeAutospacing="0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оценка стоимости работ по проекту.</w:t>
      </w:r>
    </w:p>
    <w:p w:rsidR="00000000" w:rsidDel="00000000" w:rsidP="00000000" w:rsidRDefault="00000000" w:rsidRPr="00000000" w14:paraId="0000000D">
      <w:pPr>
        <w:pageBreakBefore w:val="0"/>
        <w:spacing w:after="200" w:before="200" w:line="327.27272727272725" w:lineRule="auto"/>
        <w:jc w:val="both"/>
        <w:rPr>
          <w:rFonts w:ascii="IBM Plex Sans" w:cs="IBM Plex Sans" w:eastAsia="IBM Plex Sans" w:hAnsi="IBM Plex Sans"/>
          <w:b w:val="1"/>
          <w:color w:val="2c2d30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2c2d30"/>
          <w:sz w:val="24"/>
          <w:szCs w:val="24"/>
          <w:rtl w:val="0"/>
        </w:rPr>
        <w:t xml:space="preserve">Артефакты фазы “Планирование”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afterAutospacing="0"/>
        <w:ind w:left="144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BFR формат, WBS с: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spacing w:after="0" w:afterAutospacing="0" w:before="0" w:beforeAutospacing="0"/>
        <w:ind w:left="216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оценкой длительности/сложности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spacing w:after="0" w:afterAutospacing="0" w:before="0" w:beforeAutospacing="0"/>
        <w:ind w:left="216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приоритезацией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spacing w:before="0" w:beforeAutospacing="0"/>
        <w:ind w:left="216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оценкой стоимости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spacing w:before="200" w:lineRule="auto"/>
        <w:jc w:val="both"/>
        <w:rPr>
          <w:rFonts w:ascii="IBM Plex Sans" w:cs="IBM Plex Sans" w:eastAsia="IBM Plex Sans" w:hAnsi="IBM Plex Sans"/>
          <w:b w:val="1"/>
        </w:rPr>
      </w:pPr>
      <w:bookmarkStart w:colFirst="0" w:colLast="0" w:name="_1es5s24aog4i" w:id="2"/>
      <w:bookmarkEnd w:id="2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Оценка длительности/сложности работ</w:t>
      </w:r>
    </w:p>
    <w:p w:rsidR="00000000" w:rsidDel="00000000" w:rsidP="00000000" w:rsidRDefault="00000000" w:rsidRPr="00000000" w14:paraId="00000015">
      <w:pPr>
        <w:pageBreakBefore w:val="0"/>
        <w:spacing w:before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Методологии оценки: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Экспертная оценка - используется для верхнеуровневой оценки сроков. На основании опыта эксперта.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 аналогам. Применяется при оценке неуникальной операции, по которой есть исторические данные о длительности работ.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Параметрическая - по объемам работ и производительности (например, когда есть значение стоимости работ за ед.времени). Наиболее точная оценка работ.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Анализ резерва - добавление к срокам дополнительного времени в качестве резерва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Оценка по трем точкам (PERT) - получение ожидаемой оценки по трем точкам: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О - оптимистичная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1446670" cy="490538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30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670" cy="49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М - наиболее вероятная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7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Р - пессимистичная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00" w:lineRule="auto"/>
        <w:jc w:val="left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Абстрактные виды оценки: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200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T-Shirt. Используется для оценки сложности features на основании размерной шкалы XXS, XS, S, M, L, XL, XXL, где XXS - самая маленькая работа/несложная, XXL - самая большая/сложная. В случае необходимости каждый размер может быть сопоставлен с более реальными значениями (дни, часы) после того, как оценка в размерах T-shirt будет сделана.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Story points. Используется для оценки сложности имплементации features на основании чисел Фибоначчи. Для оценки работ командой используют  0, 1, 2, 3, 5, 8, 13, 21, 34, 55, 89, где 0 - минимальная сложность, 89 - максимальная. В случае необходимости каждое число может быть приравнено более реальным значениям (дни, часы) после того, как оценка в числах Фибоначчи будет сделана.</w:t>
      </w:r>
    </w:p>
    <w:p w:rsidR="00000000" w:rsidDel="00000000" w:rsidP="00000000" w:rsidRDefault="00000000" w:rsidRPr="00000000" w14:paraId="00000022">
      <w:pPr>
        <w:pageBreakBefore w:val="0"/>
        <w:spacing w:before="20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Для удобства оценок с использованием Story points и T-shirt Команда проекта может использовать инструмент Planning Poker, который предполагает помимо заявленных значений SP и T-shirt - дополнительные (“чашка кофе”, если член команды пропускает оценку тк features вне зоны его компетенции, знак “?”, если член команды не уверен в оценке и тд).</w:t>
      </w:r>
    </w:p>
    <w:p w:rsidR="00000000" w:rsidDel="00000000" w:rsidP="00000000" w:rsidRDefault="00000000" w:rsidRPr="00000000" w14:paraId="00000023">
      <w:pPr>
        <w:pageBreakBefore w:val="0"/>
        <w:spacing w:before="200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before="200" w:lineRule="auto"/>
        <w:jc w:val="both"/>
        <w:rPr/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От этапа к этапу детализация оценки увеличивается и становится все более реальной. Например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52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590"/>
        <w:tblGridChange w:id="0">
          <w:tblGrid>
            <w:gridCol w:w="4935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4"/>
                <w:szCs w:val="24"/>
                <w:rtl w:val="0"/>
              </w:rPr>
              <w:t xml:space="preserve">Уровень прозрачности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4"/>
                <w:szCs w:val="24"/>
                <w:rtl w:val="0"/>
              </w:rPr>
              <w:t xml:space="preserve">Оценка требований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Высокоуровневые требования (Инициация проекта)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8-40 чм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Требования детализированы в Спецификации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9-20 чм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Требования детализированы в WBS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10-20 чм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Готов дизайн (в зависимости от проекта)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12-18 чм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Первый релиз, пробный запуск Продукта сделан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15-18 чм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Финальная оценка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before="0" w:line="240" w:lineRule="auto"/>
              <w:jc w:val="center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17 чм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pacing w:before="200" w:lineRule="auto"/>
        <w:jc w:val="both"/>
        <w:rPr>
          <w:rFonts w:ascii="IBM Plex Sans" w:cs="IBM Plex Sans" w:eastAsia="IBM Plex Sans" w:hAnsi="IBM Plex Sans"/>
        </w:rPr>
      </w:pPr>
      <w:bookmarkStart w:colFirst="0" w:colLast="0" w:name="_689gd2ncwl1d" w:id="3"/>
      <w:bookmarkEnd w:id="3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Приоритезация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rPr>
          <w:rFonts w:ascii="IBM Plex Sans" w:cs="IBM Plex Sans" w:eastAsia="IBM Plex Sans" w:hAnsi="IBM Plex Sans"/>
          <w:b w:val="1"/>
        </w:rPr>
      </w:pPr>
      <w:bookmarkStart w:colFirst="0" w:colLast="0" w:name="_6pzqwc7gb374" w:id="4"/>
      <w:bookmarkEnd w:id="4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MoSCow</w:t>
      </w:r>
    </w:p>
    <w:p w:rsidR="00000000" w:rsidDel="00000000" w:rsidP="00000000" w:rsidRDefault="00000000" w:rsidRPr="00000000" w14:paraId="00000036">
      <w:pPr>
        <w:pageBreakBefore w:val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Данная методология основывается на оценке задачи по одному из критериев: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Must have (Должно быть) — они имеют решающее значение и должны быть включены в продукт. Если даже одно требование не включено, релиз считается провальным. Они могут быть опущены, если между заинтересованными сторонами будет достигнуто согласие.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Should have (Надо бы иметь) — эти требования важны, но не имеют решающего значения. Они являются первым уровнем «Nice to have» (Хорошо бы иметь) и, как правило, разделяют важность требований “Должно быть”, не будучи настолько чувствительными к времени.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Could have (Могут быть) — эти требования желательны, но не нужны для выпуска. Обычно это недорогие усовершенствования продукта. Из-за их меньшей важности они являются вторым уровнем функций «Nice to have».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Won’t have (Не будут) — они считаются наименее критичными или даже не соответствуют стратегии продукта. Они должны быть отброшены или пересмотрены для будущих выпусков</w:t>
      </w:r>
    </w:p>
    <w:p w:rsidR="00000000" w:rsidDel="00000000" w:rsidP="00000000" w:rsidRDefault="00000000" w:rsidRPr="00000000" w14:paraId="0000003B">
      <w:pPr>
        <w:pageBreakBefore w:val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jc w:val="both"/>
        <w:rPr>
          <w:rFonts w:ascii="IBM Plex Sans" w:cs="IBM Plex Sans" w:eastAsia="IBM Plex Sans" w:hAnsi="IBM Plex Sans"/>
          <w:b w:val="1"/>
        </w:rPr>
      </w:pPr>
      <w:bookmarkStart w:colFirst="0" w:colLast="0" w:name="_fv9sx4yzpdvv" w:id="5"/>
      <w:bookmarkEnd w:id="5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Методология WSJF, Weighted Shortest Job First  (с англ. кратчайшая взвешенная работа - первая)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 SAFe (scaled Scrum) методологии features приоритезация осуществляется с использованием WSJF. Данный фреймворк позволяет принимать решение на основании стоимости задержки имплементации и сложности/длительности работы. Для расчета WSJF показателя, где  максимальное значение = feature самого высокого приоритета, необходимо использовать формулу.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Немного терминологии: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Cost of Delay - стоимость задержки имплементации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User-Business Value - бизнес ценность feature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Time Critically - критичность feature с тзр времени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spacing w:before="0" w:beforeAutospacing="0"/>
        <w:ind w:left="720" w:hanging="36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Risk Reduction and Opportunity Enablement - Снижение рисков и\или Возможности для пользователя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9050" distT="19050" distL="19050" distR="19050">
            <wp:extent cx="4086225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9050" distT="19050" distL="19050" distR="19050">
            <wp:extent cx="5731200" cy="135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9050" distT="19050" distL="19050" distR="19050">
            <wp:extent cx="5731200" cy="196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ageBreakBefore w:val="0"/>
        <w:jc w:val="left"/>
        <w:rPr>
          <w:rFonts w:ascii="IBM Plex Sans" w:cs="IBM Plex Sans" w:eastAsia="IBM Plex Sans" w:hAnsi="IBM Plex Sans"/>
          <w:sz w:val="30"/>
          <w:szCs w:val="30"/>
        </w:rPr>
      </w:pPr>
      <w:bookmarkStart w:colFirst="0" w:colLast="0" w:name="_w4uxu43lbk1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rPr>
          <w:rFonts w:ascii="IBM Plex Sans" w:cs="IBM Plex Sans" w:eastAsia="IBM Plex Sans" w:hAnsi="IBM Plex Sans"/>
          <w:b w:val="1"/>
        </w:rPr>
      </w:pPr>
      <w:bookmarkStart w:colFirst="0" w:colLast="0" w:name="_na1jp89bco9x" w:id="7"/>
      <w:bookmarkEnd w:id="7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Оценка стоимости работ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Экспертная оценка. Используется для верхнеуровневой оценки сроков. На основании опыта эксперта.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По аналогам. Применяется при оценке неуникальной операции, по которой есть исторические данные о длительности работ.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Параметрическая. По объемам работ и производительности (например, когда есть значение стоимости работ за ед.времени). Наиболее точная оценка работ.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Оценка по трем точкам (PERT)</w:t>
      </w:r>
    </w:p>
    <w:p w:rsidR="00000000" w:rsidDel="00000000" w:rsidP="00000000" w:rsidRDefault="00000000" w:rsidRPr="00000000" w14:paraId="0000004F">
      <w:pPr>
        <w:pageBreakBefore w:val="0"/>
        <w:spacing w:after="200" w:before="200"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Получение ожидаемой оценки по трем точкам:</w:t>
      </w:r>
    </w:p>
    <w:p w:rsidR="00000000" w:rsidDel="00000000" w:rsidP="00000000" w:rsidRDefault="00000000" w:rsidRPr="00000000" w14:paraId="00000050">
      <w:pPr>
        <w:pageBreakBefore w:val="0"/>
        <w:spacing w:before="0"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 - оптимистичная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47625</wp:posOffset>
            </wp:positionV>
            <wp:extent cx="1522635" cy="509841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3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635" cy="509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ageBreakBefore w:val="0"/>
        <w:spacing w:before="0"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М - наиболее вероятная</w:t>
      </w:r>
    </w:p>
    <w:p w:rsidR="00000000" w:rsidDel="00000000" w:rsidP="00000000" w:rsidRDefault="00000000" w:rsidRPr="00000000" w14:paraId="00000052">
      <w:pPr>
        <w:pageBreakBefore w:val="0"/>
        <w:spacing w:before="0"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Р - пессимистичная</w:t>
      </w:r>
    </w:p>
    <w:p w:rsidR="00000000" w:rsidDel="00000000" w:rsidP="00000000" w:rsidRDefault="00000000" w:rsidRPr="00000000" w14:paraId="00000053">
      <w:pPr>
        <w:pStyle w:val="Heading3"/>
        <w:pageBreakBefore w:val="0"/>
        <w:rPr>
          <w:rFonts w:ascii="IBM Plex Sans" w:cs="IBM Plex Sans" w:eastAsia="IBM Plex Sans" w:hAnsi="IBM Plex Sans"/>
        </w:rPr>
      </w:pPr>
      <w:bookmarkStart w:colFirst="0" w:colLast="0" w:name="_tuc5ojjimjs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sz w:val="24"/>
        <w:szCs w:val="24"/>
        <w:lang w:val="ru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