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ros-k.ru (от 18.02.2014)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2010-05-27 (Возраст: 03 г., 08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Ремонт в Коломне, ремонтная бригада компании РосСтройКомплект - ремонт квартир в Коломне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ООО ГК РосСтройКомплект осуществляет работы по ремонту квартир и помещений в г. Коломна Московской области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 квартир в коломне, ремонт в коломне, ремонтная бригада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253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распашные ворота цена (30%) ros-k.ru (20%) noText (5%) /board (5%) /catalog (5%) /contacts (5%) /fotogalereya_remont (5%) /gallery (5%) /mail (5%) /novosti?view=11925803 (5%) /novosti?view=23161603 (5%) /ocompanii (5%) /price (5%) /remont_stroitelstvo_kolomna (5%) /sotrudniki (5%) /stati1 (5%) classifieds, free classified listings, post free classified. (5%) home page (5%) ros-k.ru/kladka_kirpicha (5%) ros-k.ru/zabory (5%) www.ros-k.ru (5%) кладка кирпича цена и расценки - ооо гк росстройкомплект (5%) ремонт в коломне (5%)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клееного бруса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газосиликатных блоков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газобетонных блоков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клееного бруса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деревянных домов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из клееного бруса под ключ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дома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дом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клееного бруса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клееного бруса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клееного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под ключ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из оцилиндрованного бревна под ключ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из оцилиндрованного бревна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дом из оцилиндрованного бревна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оцилиндрованного бревна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