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dobromed.ru (от 28.02.2014)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2004-12-09 (Возраст: 09 г., 02 мес., 19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Семейные клиники Добромед - современная семейная медицина в Москве и Подмосковье. Центр семейной медицины - 15 лет вместе!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Сеть семейных клиник Добромед более 15 лет заботится о Вашем здоровье. Высококвалифицированные специалисты, работающие в наших центрах семейной медицины, становятся надежными помощниками для здоровья Вашей семьи. Клиники имеют Государственную аккреди...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семейная клиника, семейная медицина, клиника семейной медицины, центр семейной медицины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275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566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2451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516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461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1705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dobromed.ru (12%) здесь (9%) www.dobromed.ru (5%) центр лечения бесплодия (1%) как отбелить зубы (1%) масталгия (1%) центр семейной медицины (1%) клиника семейной медицины (1%) лечение женского бесплодия (1%) массаж головы (1%) noText (1%) варикозная болезнь вен (1%) вставить зубы (1%) добромед (1%) как повысить потенцию (1%) лечение целлюлита (1%) сдать анализы (1%) вопросы по узи (1%) как лечить климакс (1%) мытье волос. массаж головы (1%) семейная медицина (1%) удаление вросшего ногтя лазером (1%) 657593. dobromed.ru (1%) врач маммолог (1%) где сдать анализы (1%) допплерометрия показатели (1%) как избавиться от варикоза (1%) как отбелить зубы домашними средствами (1%) киста яичника симптомы (1%) кровоточивость десен: лечение народными средствами (1%) лазерная стоматология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dobromed.ru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www.dobromed.ru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добромед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657593. dobromed.ru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допплерометрия показатели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удаление вросшего ногтя лазером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женского бесплодия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вопросы по узи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центр лечения бесплодия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массаж головы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врач маммолог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клиника семейной медицины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масталгия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где сдать анализы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кровоточивость десен: лечение народными средствами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центр семейной медицины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сдать анализы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лазерная стоматология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целлюлита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семейная медицина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как повысить потенцию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как лечить климакс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как избавиться от варикоза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вставить зубы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как отбелить зубы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мытье волос. массаж головы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здесь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варикозная болезнь вен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как отбелить зубы домашними средствами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киста яичника симптомы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