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www.proexpress.ru (от 14.11.2014)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2007-04-05 (Возраст: 07 г., 07 мес., 9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.COMCOR-DELTA, Network for ZAO "Express-Delta"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Железнодорожные контейнерные перевозки по России и странам СНГ, вагонные и автомобильные перевозки, отправка автомобилей в контейнерах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Железнодорожные контейнерные перевозки по России и странам СНГ. Отправка автомобилей в контейнерах. Выгодные тарифы на перевозку грузов.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железнодорожные перевозки, контейнерные перевозки, вагонные перевозки, автомобильные перевозки, смешанные перевозки, отправка автомобилей в контейнерах, грузоперевозки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20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2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70%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11577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5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93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61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54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27380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9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6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