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www.2t.ru (от 18.02.2015)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DIGITALOCEAN-AMS-4, Digital Ocean, Inc.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Колл-центр в Москве | Call-центр Танго Телеком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Если вы ищете хороший call-центр в Москве — ознакомьтесь с услугами колл центра Танго Телеком.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425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565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сделать горячую линию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колл центр горячая линия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обработка входящих звонков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горячей линии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аренда горячей линии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горячая линия услуга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виртуальный колл центр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услуга горячая линия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организация горячей линии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удаленный колл центр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колл центры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горячая линия колл центр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колцентры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организовать горячую линию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колцентр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колл центр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создать горячую линию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горячая линия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колл центр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номер горячей линии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номер горячей линии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call центра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call центры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call центр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call центр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 центр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call centre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78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