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>
          <w:lang w:val="ru-RU"/>
        </w:rPr>
      </w:pPr>
      <w:r>
        <w:rPr>
          <w:lang w:val="ru-RU"/>
        </w:rPr>
        <w:t>Формула изобретения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BodyText"/>
        <w:spacing w:lineRule="auto" w:line="259" w:before="0" w:after="160"/>
        <w:ind w:hanging="0" w:left="0" w:right="0"/>
        <w:rPr/>
      </w:pPr>
      <w:r>
        <w:rPr/>
        <w:t>ПЛАТФОРМА НЕЙРОИНТЕГРАЦИОННОГО ИЗОМОРФНОГО РЕЗОНАНСА ДЛЯ РЕЗОНАНСНОЙ ИНТЕГРАТИВНОЙ ФУНКЦИОНАЛЬНОЙ ТРАНСКОМУНИКАЦИИ</w:t>
      </w:r>
    </w:p>
    <w:p>
      <w:pPr>
        <w:pStyle w:val="BodyText"/>
        <w:rPr>
          <w:lang w:val="ru-RU"/>
        </w:rPr>
      </w:pPr>
      <w:r>
        <w:rPr>
          <w:lang w:val="ru-RU"/>
        </w:rPr>
        <w:t>ПНИРдрифт</w:t>
      </w:r>
    </w:p>
    <w:p>
      <w:pPr>
        <w:pStyle w:val="Normal"/>
        <w:rPr>
          <w:lang w:val="ru-RU"/>
        </w:rPr>
      </w:pPr>
      <w:r>
        <w:rPr>
          <w:rStyle w:val="Strong"/>
          <w:b w:val="false"/>
          <w:lang w:val="ru-RU"/>
        </w:rPr>
        <w:t>Многоуровневая система коллективной нейросинхронизации и онейро-когнитивного прогнозирования</w:t>
      </w:r>
      <w:r>
        <w:rPr>
          <w:b/>
          <w:lang w:val="ru-RU"/>
        </w:rPr>
        <w:t>,</w:t>
      </w:r>
      <w:r>
        <w:rPr>
          <w:lang w:val="ru-RU"/>
        </w:rPr>
        <w:t xml:space="preserve"> включающая носимые сенсоры для регистрации биосигналов человека, устройства предварительной обработки, передачи и хранения данных, а также средства отображения и взаимодействия,</w:t>
        <w:br/>
      </w:r>
      <w:r>
        <w:rPr>
          <w:rStyle w:val="Strong"/>
          <w:lang w:val="ru-RU"/>
        </w:rPr>
        <w:t>отличающаяся тем, что</w:t>
      </w:r>
      <w:r>
        <w:rPr>
          <w:lang w:val="ru-RU"/>
        </w:rPr>
        <w:t xml:space="preserve"> система выполнена в виде аппаратно-программного комплекса, содержащего носимую подсистему съёма многомодальных биосигналов (электроэнцефалографических, оптических, пневмографических, акселерометрических и акустических), локальный шлюз с функцией автономного режима и шифрования данных, серверную подсистему прогнозирования (</w:t>
      </w:r>
      <w:r>
        <w:rPr/>
        <w:t>GFS</w:t>
      </w:r>
      <w:r>
        <w:rPr>
          <w:lang w:val="ru-RU"/>
        </w:rPr>
        <w:t xml:space="preserve">) с модулями машинного обучения, </w:t>
      </w:r>
      <w:r>
        <w:rPr/>
        <w:t>NLP</w:t>
      </w:r>
      <w:r>
        <w:rPr>
          <w:lang w:val="ru-RU"/>
        </w:rPr>
        <w:t>-анализа онейрологических записей и выделения биомаркеров, модуль обратной неинвазивной стимуляции, обеспечивающий аудио-, визуальные, тактильные и ограниченные электромодуляционные воздействия под контролем встроенной системы безопасности, программный модуль автономного поведения, активирующий стандартизированные процедурные алгоритмы координации действий при утрате связи, и интерфейс внешней интеграции для синхронизации с видеорегистраторами, стационарными и спутниковыми источниками данных, при этом система функционирует в сетевом и автономном режимах, обеспечивая повышение согласованности, устойчивости и предсказуемости коллективных когнитивных и физиологических состояний.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1"/>
        <w:rPr>
          <w:lang w:val="ru-RU"/>
        </w:rPr>
      </w:pPr>
      <w:r>
        <w:rPr>
          <w:lang w:val="ru-RU"/>
        </w:rPr>
        <w:t>Техническое решение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Многоуровневая система коллективной нейросинхронизации и онейро-когнитивного прогнозирования (МСМКНиОКП) представляет собой интегрированное техническое решение, направленное на повышение согласованности, устойчивости и предсказуемости поведения коллективов посредством объединения методов нейротехнологий, биотелеметрии и когнитивной аналитики. Система реализует замкнутый цикл регистрации, анализа, прогнозирования и коррекции физиологических и когнитивных состояний участников с возможностью автономного функционирования при отсутствии связи. Архитектура комплекса основана на взаимодействии аппаратных и программных компонентов, объединённых в единую сеть обратной связи, обеспечивающую когерентность биоритмов, синхронизацию эмоциональных состояний и выработку коллективных стратегий поведения.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В техническом отношении система включает носимую подсистему, локальный шлюз, серверный комплекс прогнозирования, модуль обратной неинвазивной стимуляции, программный модуль автономного поведения и интерфейс внешней интеграции. Носимая подсистема состоит из совокупности сенсорных модулей, фиксирующих биосигналы различной природы: электроэнцефалографические, оптические, пневмографические, акселерометрические и акустические. Эти сенсоры регистрируют электрическую и оптическую активность мозга, дыхательные и моторные ритмы, микровибрации, вокальные маркеры и иные физиологические параметры. Каждый сенсор снабжён энергонезависимой памятью, микроконтроллером для локальной фильтрации и беспроводным интерфейсом передачи данных. Потоки сигналов в реальном времени поступают в локальный шлюз — мобильное вычислительное устройство, выполняющее цифровую предобработку, временную синхронизацию, шифрование и буферизацию информации. При наличии связи шлюз передаёт агрегированные данные на серверную подсистему, а при её утрате автоматически переходит в автономный режим, инициируя активность встроенного модуля автономного поведения.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Серверная подсистема представляет собой распределённую облачную платформу (</w:t>
      </w:r>
      <w:r>
        <w:rPr/>
        <w:t>GFS</w:t>
      </w:r>
      <w:r>
        <w:rPr>
          <w:lang w:val="ru-RU"/>
        </w:rPr>
        <w:t>) с модулями машинного обучения, предобработки сигналов, выделения биомаркеров и анализа онейрологических записей средствами обработки естественного языка. Система формирует коллективный референтный профиль, предсказывает динамику физиологических и когнитивных состояний и вырабатывает корректирующие команды, которые передаются в модуль обратной стимуляции. Модуль неинвазивной стимуляции реализует адаптивные аудиальные, визуальные, вибротактильные и электромодуляционные воздействия строго ограниченной мощности и длительности. Параметры воздействия синхронизируются с биоритмами участников, что обеспечивает плавную коррекцию когнитивного и эмоционального состояния без перегрузки сенсорных систем. Безопасность гарантируется встроенными ограничителями мощности, контролем температуры поверхности электродов, автоматическим отключением при обнаружении неблагоприятных физиологических реакций и постоянным мониторингом проводимости кожи и частоты сердечных сокращений.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В автономном режиме управление взаимодействием осуществляется посредством модуля процедурных алгоритмов, хранящего стандартизированные паттерны дыхательных и моторных упражнений, синхронных жестов, фразовых ритмов и визуальных триггеров, репетированных участниками в тренировочном цикле. Эти алгоритмы позволяют коллективу сохранять согласованность и эмоциональную устойчивость без внешнего управления и связи с сервером. Интерфейс внешней интеграции обеспечивает временно-пространственную синхронизацию данных с видеорегистраторами, стационарными камерами, геолокационными системами и другими источниками. Такая корреляция позволяет объединять физиологические сигналы с внешними событиями и контекстом, что повышает достоверность анализа и эффективность прогнозных моделей.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 xml:space="preserve">Система функционирует в двух режимах: сетевом, при котором аналитика и прогнозирование выполняются сервером с использованием обучаемых моделей искусственного интеллекта, и автономном, обеспечивающем непрерывность работы при нарушении связи за счёт локальных копий моделей и процедурных шаблонов. Переход между режимами происходит автоматически при изменении доступности сетевых ресурсов. Обработка данных осуществляется с использованием цифровых фильтров, вейвлет-разложения и адаптивных методов подавления артефактов, а прогнозирование основано на ансамблях нейронных сетей и рекуррентных архитектурах, способных моделировать временную динамику коллективных состояний. Все коммуникации защищены криптографическими протоколами </w:t>
      </w:r>
      <w:r>
        <w:rPr/>
        <w:t>AES</w:t>
      </w:r>
      <w:r>
        <w:rPr>
          <w:lang w:val="ru-RU"/>
        </w:rPr>
        <w:t xml:space="preserve">-256 и </w:t>
      </w:r>
      <w:r>
        <w:rPr/>
        <w:t>RSA</w:t>
      </w:r>
      <w:r>
        <w:rPr>
          <w:lang w:val="ru-RU"/>
        </w:rPr>
        <w:t>-2048, что исключает несанкционированный доступ к персональным и медицинским данным.</w:t>
      </w:r>
    </w:p>
    <w:p>
      <w:pPr>
        <w:pStyle w:val="NormalWeb"/>
        <w:spacing w:before="280" w:after="280"/>
        <w:rPr>
          <w:lang w:val="ru-RU"/>
        </w:rPr>
      </w:pPr>
      <w:r>
        <w:rPr>
          <w:lang w:val="ru-RU"/>
        </w:rPr>
        <w:t>Применение МСМКНиОКП обеспечивает формирование устойчивой нейрофизиологической и когнитивной когерентности между участниками коллектива, возможность объективного прогнозирования изменений их состояния и своевременной коррекции через безопасную адаптивную стимуляцию. Технический результат выражается в повышении эффективности совместной деятельности, снижении уровня стресса, оптимизации распределения внимания и устойчивом сохранении функционального единства группы даже в условиях дефицита коммуникаций. Система может использоваться в спорте, медицине, нейропсихологии, военной подготовке, образовании и когнитивных исследованиях, а также как базовый компонент коллективных человеко-машинных интерфейсов нового поколения.</w:t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  <w:bookmarkStart w:id="0" w:name="_GoBack"/>
      <w:bookmarkStart w:id="1" w:name="_GoBack"/>
      <w:bookmarkEnd w:id="1"/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alibri Light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5f552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2"/>
    <w:semiHidden/>
    <w:unhideWhenUsed/>
    <w:qFormat/>
    <w:rsid w:val="005f5523"/>
    <w:pPr>
      <w:keepNext w:val="true"/>
      <w:keepLines/>
      <w:suppressAutoHyphens w:val="true"/>
      <w:spacing w:lineRule="auto" w:line="240" w:before="40" w:after="0"/>
      <w:outlineLvl w:val="1"/>
    </w:pPr>
    <w:rPr>
      <w:rFonts w:ascii="Calibri Light" w:hAnsi="Calibri Light" w:eastAsia="Times New Roman" w:cs="Calibri Light"/>
      <w:color w:val="2E74B5"/>
      <w:kern w:val="2"/>
      <w:sz w:val="26"/>
      <w:szCs w:val="26"/>
      <w:lang w:val="en-US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Заголовок 2 Знак"/>
    <w:basedOn w:val="DefaultParagraphFont"/>
    <w:link w:val="Heading2"/>
    <w:semiHidden/>
    <w:qFormat/>
    <w:rsid w:val="005f5523"/>
    <w:rPr>
      <w:rFonts w:ascii="Calibri Light" w:hAnsi="Calibri Light" w:eastAsia="Times New Roman" w:cs="Calibri Light"/>
      <w:color w:val="2E74B5"/>
      <w:kern w:val="2"/>
      <w:sz w:val="26"/>
      <w:szCs w:val="26"/>
      <w:lang w:val="en-US" w:eastAsia="zh-CN" w:bidi="hi-IN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5f552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Strong">
    <w:name w:val="Strong"/>
    <w:basedOn w:val="DefaultParagraphFont"/>
    <w:uiPriority w:val="22"/>
    <w:qFormat/>
    <w:rsid w:val="005f5523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5f552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PreformattedText">
    <w:name w:val="Preformatted Text"/>
    <w:basedOn w:val="Normal"/>
    <w:qFormat/>
    <w:pPr>
      <w:widowControl w:val="false"/>
      <w:suppressAutoHyphens w:val="true"/>
      <w:spacing w:lineRule="auto" w:line="240" w:before="0" w:after="0"/>
    </w:pPr>
    <w:rPr>
      <w:rFonts w:ascii="Liberation Mono" w:hAnsi="Liberation Mono" w:eastAsia="Noto Sans Mono CJK SC" w:cs="Liberation Mono"/>
      <w:sz w:val="20"/>
      <w:szCs w:val="20"/>
      <w:lang w:val="es-MX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LibreOffice/25.2.6.2$Linux_X86_64 LibreOffice_project/520$Build-2</Application>
  <AppVersion>15.0000</AppVersion>
  <Pages>3</Pages>
  <Words>693</Words>
  <Characters>6116</Characters>
  <CharactersWithSpaces>6799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2025-11-12T09:21:00Z</dcterms:created>
  <dc:creator>User</dc:creator>
  <dc:description/>
  <dc:language>en-US</dc:language>
  <cp:lastModifiedBy/>
  <dcterms:modified xsi:type="dcterms:W3CDTF">2025-11-12T10:10:51Z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