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40" w:after="0"/>
        <w:rPr>
          <w:lang w:val="ru-RU"/>
        </w:rPr>
      </w:pPr>
      <w:r>
        <w:rPr>
          <w:lang w:val="ru-RU"/>
        </w:rPr>
        <w:t>Описание изобретения</w:t>
      </w:r>
    </w:p>
    <w:p>
      <w:pPr>
        <w:pStyle w:val="Heading2"/>
        <w:rPr>
          <w:lang w:val="ru-RU"/>
        </w:rPr>
      </w:pPr>
      <w:r>
        <w:rPr>
          <w:lang w:val="ru-RU"/>
        </w:rPr>
        <w:t>Название зобретения</w:t>
      </w:r>
    </w:p>
    <w:p>
      <w:pPr>
        <w:pStyle w:val="Normal"/>
        <w:rPr>
          <w:lang w:val="ru-RU"/>
        </w:rPr>
      </w:pPr>
      <w:r>
        <w:rPr>
          <w:rStyle w:val="Strong"/>
          <w:rFonts w:eastAsia="Times New Roman" w:cs="Times New Roman" w:ascii="Times New Roman" w:hAnsi="Times New Roman"/>
          <w:sz w:val="24"/>
          <w:szCs w:val="24"/>
          <w:lang w:val="ru-RU" w:eastAsia="en-GB"/>
        </w:rPr>
        <w:t>БИОФОТОННАЯ ОПТИЧЕСКАЯ НЕЙРОДИАГНОСТИЧЕСКАЯ СИСТЕМА</w:t>
      </w:r>
    </w:p>
    <w:p>
      <w:pPr>
        <w:pStyle w:val="Normal"/>
        <w:rPr>
          <w:lang w:val="ru-RU"/>
        </w:rPr>
      </w:pPr>
      <w:r>
        <w:rPr>
          <w:rFonts w:eastAsia="Times New Roman" w:cs="Times New Roman" w:ascii="Times New Roman" w:hAnsi="Times New Roman"/>
          <w:bCs/>
          <w:sz w:val="24"/>
          <w:szCs w:val="24"/>
          <w:lang w:val="ru-RU" w:eastAsia="en-GB"/>
        </w:rPr>
        <w:t>(</w:t>
      </w:r>
      <w:r>
        <w:rPr>
          <w:rFonts w:eastAsia="Times New Roman" w:cs="Times New Roman" w:ascii="Times New Roman" w:hAnsi="Times New Roman"/>
          <w:bCs/>
          <w:sz w:val="24"/>
          <w:szCs w:val="24"/>
          <w:lang w:val="ru-RU" w:eastAsia="en-GB"/>
        </w:rPr>
        <w:t>Устройство для пассивного считывания биофотонного излучения глаз и регистрации мозговой активности</w:t>
      </w:r>
      <w:r>
        <w:rPr>
          <w:rFonts w:eastAsia="Times New Roman" w:cs="Times New Roman" w:ascii="Times New Roman" w:hAnsi="Times New Roman"/>
          <w:bCs/>
          <w:sz w:val="24"/>
          <w:szCs w:val="24"/>
          <w:lang w:val="ru-RU" w:eastAsia="en-GB"/>
        </w:rPr>
        <w:t>)</w:t>
      </w:r>
    </w:p>
    <w:p>
      <w:pPr>
        <w:pStyle w:val="Heading2"/>
        <w:rPr>
          <w:lang w:val="ru-RU"/>
        </w:rPr>
      </w:pPr>
      <w:r>
        <w:rPr>
          <w:lang w:val="ru-RU"/>
        </w:rPr>
        <w:t>Область техники</w:t>
      </w:r>
    </w:p>
    <w:p>
      <w:pPr>
        <w:pStyle w:val="NormalWeb"/>
        <w:spacing w:before="280" w:after="280"/>
        <w:rPr>
          <w:lang w:val="ru-RU"/>
        </w:rPr>
      </w:pPr>
      <w:r>
        <w:rPr>
          <w:lang w:val="ru-RU"/>
        </w:rPr>
        <w:t>Изобретение относится к области биофизики, нейроинтерфейсов и медицинской диагностики, в частности к неинвазивным способам и устройствам регистрации активности головного мозга. Наиболее близкие технические области включают электроэнцефалографию (ЭЭГ), функциональную нейровизуализацию и методы регистрации ультраслабого биофотонного излучения (</w:t>
      </w:r>
      <w:r>
        <w:rPr/>
        <w:t>UPE</w:t>
      </w:r>
      <w:r>
        <w:rPr>
          <w:lang w:val="ru-RU"/>
        </w:rPr>
        <w:t>) живых тканей.</w:t>
      </w:r>
    </w:p>
    <w:p>
      <w:pPr>
        <w:pStyle w:val="NormalWeb"/>
        <w:spacing w:before="280" w:after="280"/>
        <w:rPr>
          <w:lang w:val="ru-RU"/>
        </w:rPr>
      </w:pPr>
      <w:r>
        <w:rPr>
          <w:lang w:val="ru-RU"/>
        </w:rPr>
        <w:t xml:space="preserve">Известные устройства для регистрации активности мозга основаны преимущественно на измерении электрических потенциалов через кожу головы либо на детекции отражённого или пропущенного света от тканей головы при внешней подсветке (методы </w:t>
      </w:r>
      <w:r>
        <w:rPr/>
        <w:t>fNIRS</w:t>
      </w:r>
      <w:r>
        <w:rPr>
          <w:lang w:val="ru-RU"/>
        </w:rPr>
        <w:t xml:space="preserve">, </w:t>
      </w:r>
      <w:r>
        <w:rPr/>
        <w:t>BOLD</w:t>
      </w:r>
      <w:r>
        <w:rPr>
          <w:lang w:val="ru-RU"/>
        </w:rPr>
        <w:t xml:space="preserve">, оптические томографы). Известны также лабораторные системы для фиксации биофотонного излучения организма в условиях полной темноты с использованием фотоумножительных трубок и охлаждённых </w:t>
      </w:r>
      <w:r>
        <w:rPr/>
        <w:t>EMCCD</w:t>
      </w:r>
      <w:r>
        <w:rPr>
          <w:lang w:val="ru-RU"/>
        </w:rPr>
        <w:t>-камер.</w:t>
      </w:r>
    </w:p>
    <w:p>
      <w:pPr>
        <w:pStyle w:val="NormalWeb"/>
        <w:spacing w:before="280" w:after="280"/>
        <w:rPr>
          <w:lang w:val="ru-RU"/>
        </w:rPr>
      </w:pPr>
      <w:r>
        <w:rPr>
          <w:lang w:val="ru-RU"/>
        </w:rPr>
        <w:t xml:space="preserve">Однако до настоящего времени отсутствуют технические решения, позволяющие </w:t>
      </w:r>
      <w:r>
        <w:rPr>
          <w:rStyle w:val="Strong"/>
          <w:rFonts w:eastAsia="" w:eastAsiaTheme="majorEastAsia"/>
          <w:lang w:val="ru-RU"/>
        </w:rPr>
        <w:t>регистрировать мозговую активность по модуляциям собственного биофотонного излучения глаза</w:t>
      </w:r>
      <w:r>
        <w:rPr>
          <w:lang w:val="ru-RU"/>
        </w:rPr>
        <w:t xml:space="preserve"> без применения электродов, без внешних источников света и при естественной освещённости.</w:t>
      </w:r>
    </w:p>
    <w:p>
      <w:pPr>
        <w:pStyle w:val="NormalWeb"/>
        <w:spacing w:before="280" w:after="280"/>
        <w:rPr>
          <w:lang w:val="ru-RU"/>
        </w:rPr>
      </w:pPr>
      <w:r>
        <w:rPr>
          <w:lang w:val="ru-RU"/>
        </w:rPr>
        <w:t xml:space="preserve">Предлагаемое изобретение относится к новой категории устройств — </w:t>
      </w:r>
      <w:r>
        <w:rPr>
          <w:rStyle w:val="Strong"/>
          <w:rFonts w:eastAsia="" w:eastAsiaTheme="majorEastAsia"/>
          <w:lang w:val="ru-RU"/>
        </w:rPr>
        <w:t>пассивных оптических нейроинтерфейсов</w:t>
      </w:r>
      <w:r>
        <w:rPr>
          <w:lang w:val="ru-RU"/>
        </w:rPr>
        <w:t>, использующих глаз как естественный оптический канал выхода биофотонного излучения, коррелирующего с ритмами мозга. Такое решение не имеет прямых аналогов и обеспечивает новый способ неинвазивного мониторинга нейронной активности.</w:t>
      </w:r>
    </w:p>
    <w:p>
      <w:pPr>
        <w:pStyle w:val="Heading2"/>
        <w:rPr>
          <w:lang w:val="ru-RU"/>
        </w:rPr>
      </w:pPr>
      <w:r>
        <w:rPr>
          <w:lang w:val="ru-RU"/>
        </w:rPr>
        <w:t>Уровень техники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К неинвазивным методам регистрации активности головного мозга относятся электрические, магнитные, гемодинамические и оптические технологии.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ЭЭГ (электроэнцефалография).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br/>
        <w:t>Основана на регистрации суммарных электрических потенциалов коры через электроды на коже головы.</w:t>
        <w:br/>
        <w:t>Недостатки: необходимость контактных электродов и подготовки кожи; чувствительность к артефактам (движения, миография, блики от пота/геля); стационарность или ограниченная мобильность при многоканальных системах; визуально заметная оснастка.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МЭГ (магнитоэнцефалография).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br/>
        <w:t>Регистрирует магнитные поля от нейронной активности с помощью сверхпроводящих датчиков.</w:t>
        <w:br/>
        <w:t>Недостатки: крайне высокая стоимость, криогеника, экранированные помещения, стационарность, непригодность для бытового носимого применения.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fMRI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/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BOLD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 xml:space="preserve"> (функциональная МРТ).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br/>
        <w:t>Косвенная регистрация нейроактивности по изменению оксигенации крови.</w:t>
        <w:br/>
        <w:t>Недостатки: громоздкое оборудование, высокая стоимость, низкая временная разрешающая способность для ритмов ЭЭГ-диапазона, полная стационарность.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Оптические гемодинамические методы (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NIRS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/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fNIRS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DOT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).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br/>
        <w:t>Измеряют поглощение/рассеяние внешней подсветки в тканях головы.</w:t>
        <w:br/>
        <w:t>Недостатки: необходимость внешних источников света и оптического контакта; ограниченная глубина зондирования; чувствительность к волосам/пигментации; сложность выделения быстрых ритмов ЭЭГ из гемодинамического сигнала; ограниченная мобильность при многоканальных системах.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ЭОГ/ЭРГ и вызванные визуальные потенциалы (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VEP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).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br/>
        <w:t>Регистрируют электрическую активность глаз/сетчатки и ответы на световые стимулы.</w:t>
        <w:br/>
        <w:t>Недостатки: контактные электроды или корнеальные датчики; метод отражает в первую очередь локальные глазные/ретинальные процессы, а не прямые корковые ритмы; требуются условия контроля освещения и фиксации взгляда.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Системы регистрации ультраслабого биофотонного излучения (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UPE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) организма.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br/>
        <w:t>Известны лабораторные установки с фотоумножителями (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PMT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) и/или охлаждёнными 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EMCCD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-камерами, размещаемыми около головы/тела в полностью затемнённых условиях, для фиксации ультраслабого собственного излучения тканей.</w:t>
        <w:br/>
        <w:t>Недостатки: работа только в тёмной камере; высокая чувствительность к фоновому свету и отражениям; отсутствие селективного выделения ритмов ЭЭГ из оптического шума; стационарность и высокая стоимость.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br/>
        <w:t>Устройство для регистрации биофотонного излучения головного мозга, включающее фотоумножитель(и), оптические волокна/светосбор и блок обработки для фиксации изменений интенсивности при функциональных нагрузках.</w:t>
        <w:br/>
        <w:t>Недостатки прототипа: требование полной темноты или экранированной камеры; стационарное исполнение; отсутствие возможности работы при естественной освещённости; отсутствие носимого исполнения; отсутствие целенаправленного съёма из области глаз как оптического канала; отсутствие алгоритмов устойчивого выделения дельта/тета/альфа/бета-компонент из оптического сигнала в реальном времени; ограниченная пригодность для повседневного мониторинга.</w:t>
        <w:br/>
        <w:t xml:space="preserve">Существующие решения либо основаны на электрическом/магнитном/гемодинамическом каналах с контактной оснасткой и/или стационарной инфраструктурой, либо требуют полной темноты для регистрации ультраслабого собственного излучения тканей. Технических решений, позволяющих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пассивно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 регистрировать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мозговую активность по ритмам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 через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модуляции собственного биофотонного излучения области глаз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 при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естественной освещённости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 и в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носимом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 исполнении, в уровне техники не выявлено. Это обосновывает новизну и отличия предлагаемого устройства от прототипов и аналогов.</w:t>
      </w:r>
    </w:p>
    <w:p>
      <w:pPr>
        <w:pStyle w:val="Heading2"/>
        <w:rPr>
          <w:lang w:val="ru-RU"/>
        </w:rPr>
      </w:pPr>
      <w:r>
        <w:rPr>
          <w:lang w:val="ru-RU"/>
        </w:rPr>
        <w:t>Сущность изобретения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Изобретение относится к области биофизики, нейроинтерфейсов и медицинской диагностики и представляет собой устройство для пассивной регистрации ультраслабого биофотонного излучения, исходящего из области глаз человека, и выделения из этого излучения временных модуляций, коррелирующих с электрической активностью головного мозга.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Устройство содержит систему оптического приёма и селективной фильтрации, фотонный сенсор, аналоговый тракт усиления и оцифровки, цифровой блок анализа сигналов, систему адаптивной стабилизации и модуль связи с внешним вычислительным устройством.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На Фиг. 1 представлена структурная схема устройства. Устройство включает последовательно соединённые узлы:</w:t>
        <w:br/>
        <w:t xml:space="preserve">(1)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Оптическое окно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, выполненное из прозрачного оптического материала с просветляющим покрытием, ориентированное на область зрачка и радужной оболочки глаза, обеспечивающее пропускание излучения в диапазоне 400–700 нм и минимизацию отражений 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или в любом другом диапазоне доступным для технической регистрации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;</w:t>
        <w:br/>
        <w:t xml:space="preserve">(2)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Светолов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 с апертурной маской и блендой, ограничивающий поле зрения и подавляющий боковые засветки;</w:t>
        <w:br/>
        <w:t xml:space="preserve">(3)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Оптический блок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, содержащий коллиматор, поляризатор, узкополосный интерференционный фильтр с полосой пропускания 450–650 нм и коэффициентом подавления вне полосы не менее 10⁷, а также инфракрасный и ультрафиолетовый отсечные фильтры;</w:t>
        <w:br/>
        <w:t xml:space="preserve">(4)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Фотонный сенсор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, выполненный в виде лавинного фотодиода (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APD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), электронно-умножающей 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CCD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-матрицы (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EMCCD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/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EBCCD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) либо 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SPAD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-массива, размещённого на виброизолированной платформе с термодатчиком для температурной компенсации тёмного тока 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либо других высокочувсвительных приборов в том числе на новых принципах напримир искусвенные биологичекие оптически чуаствительные нейроны аналоги сетчатки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;</w:t>
        <w:br/>
        <w:t xml:space="preserve">(5)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Предусилитель и аналогово-цифровой преобразователь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 с низким собственным шумом, автоматическим регулированием усиления, полосой пропускания 0,3–40 Гц и частотой дискретизации не менее 100 Гц 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либо других необходимых частот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;</w:t>
        <w:br/>
        <w:t xml:space="preserve">(6)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Блок синхронизации и временных меток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, содержащий таймеры высокой стабильности и входы 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TTL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-уровня для маркировки событий;</w:t>
        <w:br/>
        <w:t xml:space="preserve">(7)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Цифровой блок обработки сигналов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, реализующий алгоритмы предобработки (вычитание тёмного уровня, фильтрацию сетевой частоты и дрейфа), спектрального анализа (быстрое преобразование Фурье, оценку плотности спектральной мощности по методу Уэлча, вейвлет-преобразование), выделения диапазонов мозговых ритмов (дельта 0,5–4 Гц, тета 4–8 Гц, альфа 8–12 Гц, бета 12–30 Гц) и оценки достоверности выявленных компонент;</w:t>
        <w:br/>
        <w:t xml:space="preserve">(8)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Адаптивный контур стабилизации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, выполняющий автоматическую регулировку усиления и порогов детекции, а также подавление медленных изменений фоновой освещённости посредством авторегрессионного моделирования;</w:t>
        <w:br/>
        <w:t xml:space="preserve">(9)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Память и логгер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, обеспечивающие хранение временных рядов и вычисленных спектральных характеристик;</w:t>
        <w:br/>
        <w:t xml:space="preserve">(10)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Интерфейс связи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, реализованный по 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USB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Bluetooth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Wi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-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Fi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 или 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UART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 с гальванической развязкой и шифрованием данных;</w:t>
        <w:br/>
        <w:t xml:space="preserve">(11)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Внешний вычислительный модуль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 или программное обеспечение, выполняющее визуализацию, анализ и архивирование данных.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Излучение, исходящее из области глаз, после прохождения оптической системы, формируется в пространственно-и спектрально-ограниченный поток фотонов, который поступает на фотонный сенсор. Преобразованный в электрический сигнал поток усиливается, оцифровывается и подвергается цифровой обработке, включающей нормализацию, подавление шумов и выделение периодических компонент, соответствующих мозговым ритмам. Результаты обработки передаются во внешнее вычислительное устройство для отображения и последующего анализа.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Устройство функционирует в режимах непрерывного мониторинга с временными окнами анализа 2–8 с, серий коротких записей для оценки стабильности альфа-ритмов, калибровки по тёмному уровню и самодиагностики. Предусмотрены процедуры фильтрации помех 50/60 Гц и гармоник, исключения данных при движениях головы и глаз по сигналам встроенного акселерометра, а также адаптивное управление усилением при изменении внешней освещённости.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Калибровка включает регистрацию тёмного уровня при закрытой шторке, определение температурной зависимости тёмного тока и построение таблицы коррекции чувствительности по уровням освещённости 100–1000 лк.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Возможны конструктивные исполнения: очковая рамка с двумя фотонными каналами и беспроводным интерфейсом, модуль для 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VR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-гарнитуры с проводной синхронизацией и медицинская версия с до восьми каналов регистрации.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Оптическая часть устройства полностью пассивна, излучение в сторону глаза отсутствует. Применяемые материалы биосовместимы, контакт с роговицей исключён, а электрическая часть обеспечивает соответствие классу электробезопасности 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BF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Предлагаемое техническое решение характеризуется использованием собственного биофотонного излучения глаза в качестве оптического канала регистрации мозговой активности, отсутствием необходимости электродов и внешней подсветки, возможностью работы при естественной освещённости и в носимом исполнении, а также многоуровневой системой подавления помех и встроенной калибровкой, что в совокупности обеспечивает новизну и высокий изобретательский уровень.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Осуществимость подтверждается применением серийных фотонных сенсоров и фильтров, стандартных методов спектрального анализа и цифровой фильтрации, что обеспечивает промышленную реализуемость без необходимости затемнённой камеры и сложного лабораторного оборудования.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Функциональная схема обработки сигналов (Фиг. 2) реализует последовательность алгоритмов цифровой обработки биофотонного сигнала, полученного с фотонного сенсора устройства. На вход блока подаётся дискретизированный сигнал, содержащий модуляции интенсивности биофотонного излучения глаза. В блоке 1 выполняется коррекция тёмного уровня по калибровочным данным, удаление низкочастотного дрейфа, фильтрация сетевой помехи 50/60 Гц и нормализация сигнала по данным датчика освещённости. В блоке 2 производится спектрально-временной анализ с использованием быстрого преобразования Фурье и оценки плотности спектральной мощности (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PSD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) по методу Уэлча, а при необходимости — вейвлет-преобразования Морле для нестационарных процессов. Из спектра выделяются диапазоны частот, соответствующие ритмам электроэнцефалограммы: дельта (0,5–4 Гц), тета (4–8 Гц), альфа (8–12 Гц), бета (12–30 Гц).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В блоке 3 выполняется детекция ритмов и вычисление относительных мощностей диапазонов, определение центров спектральных пиков и синхронизация по временным меткам, что обеспечивает сопоставление с физиологическими состояниями пользователя. Блок 4 обеспечивает оценку достоверности обнаруженных компонент путём расчёта отношения сигнал/шум (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SNR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), применения бутстреп-методов и поправки на множественные сравнения (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FDR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). Здесь же реализован адаптивный контур стабилизации усиления и порогов на основе авторегрессионной модели, прогнозирующей уровень фонового сигнала.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В блоке 5 формируются выходные данные: таблицы спектральной мощности диапазонов, временные ряды, индексы достоверности и временные метки. Полученные результаты передаются в логгер или через интерфейс связи в вычислительное устройство для дальнейшего анализа и визуализации.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Программная реализация алгоритма может быть встроена в микроконтроллер устройства или выполнена в виде программного модуля для внешнего компьютера. Функциональная схема обеспечивает выделение и регистрацию ритмов мозговой активности по модуляциям биофотонного сигнала с высокой помехоустойчивостью при естественной освещённости, что подтверждает уникальность и новизну принципа работы устройства.</w:t>
      </w:r>
    </w:p>
    <w:p>
      <w:pPr>
        <w:pStyle w:val="Heading3"/>
        <w:rPr>
          <w:lang w:val="ru-RU"/>
        </w:rPr>
      </w:pPr>
      <w:r>
        <w:rPr>
          <w:lang w:val="ru-RU"/>
        </w:rPr>
        <w:t>Ссылки на основные научные публикации:</w:t>
      </w:r>
    </w:p>
    <w:p>
      <w:pPr>
        <w:pStyle w:val="BodyText"/>
        <w:rPr>
          <w:lang w:val="ru-RU"/>
        </w:rPr>
      </w:pPr>
      <w:bookmarkStart w:id="0" w:name="_GoBack"/>
      <w:bookmarkEnd w:id="0"/>
      <w:r>
        <w:rPr>
          <w:lang w:val="ru-RU"/>
        </w:rPr>
        <w:t>1.</w:t>
        <w:tab/>
      </w:r>
      <w:r>
        <w:rPr>
          <w:lang w:val="ru-RU"/>
        </w:rPr>
        <w:t xml:space="preserve">Casey H., DiBerardino I., Bonzanni M., Rouleau N., Murugan N. J. et al. Exploring ultraweak photon emissions as optical markers of brain activity. PMC. URL: </w:t>
      </w:r>
      <w:hyperlink r:id="rId2">
        <w:r>
          <w:rPr>
            <w:rStyle w:val="Hyperlink"/>
            <w:lang w:val="ru-RU"/>
          </w:rPr>
          <w:t>https://pmc.ncbi.nlm.nih.gov/articles/PMC11927727/</w:t>
        </w:r>
      </w:hyperlink>
    </w:p>
    <w:p>
      <w:pPr>
        <w:pStyle w:val="BodyText"/>
        <w:rPr>
          <w:lang w:val="ru-RU"/>
        </w:rPr>
      </w:pPr>
      <w:r>
        <w:rPr>
          <w:lang w:val="ru-RU"/>
        </w:rPr>
        <w:t>2.</w:t>
        <w:tab/>
      </w:r>
      <w:r>
        <w:rPr/>
        <w:t>Salari V. et al. Ultraweak photon emission in the brain. J Integr Neurosci, 14(3) 419</w:t>
        <w:noBreakHyphen/>
        <w:t xml:space="preserve">29. PMID: 26336891. URL: </w:t>
      </w:r>
      <w:hyperlink r:id="rId3">
        <w:r>
          <w:rPr>
            <w:rStyle w:val="Hyperlink"/>
          </w:rPr>
          <w:t>https://pubmed.ncbi.nlm.nih.gov/26336891/</w:t>
        </w:r>
      </w:hyperlink>
    </w:p>
    <w:p>
      <w:pPr>
        <w:pStyle w:val="BodyText"/>
        <w:rPr>
          <w:lang w:val="ru-RU"/>
        </w:rPr>
      </w:pPr>
      <w:r>
        <w:rPr>
          <w:lang w:val="ru-RU"/>
        </w:rPr>
        <w:t>3.</w:t>
        <w:tab/>
      </w:r>
      <w:r>
        <w:rPr/>
        <w:t>«Human ultra</w:t>
        <w:noBreakHyphen/>
        <w:t>weak photon emission as non</w:t>
        <w:noBreakHyphen/>
        <w:t xml:space="preserve">invasive spectroscopic tool» (2021). ScienceDirect. URL: </w:t>
      </w:r>
      <w:hyperlink r:id="rId4">
        <w:r>
          <w:rPr>
            <w:rStyle w:val="Hyperlink"/>
          </w:rPr>
          <w:t>https://www.sciencedirect.com/science/article/pii/S1011134421000191</w:t>
        </w:r>
      </w:hyperlink>
    </w:p>
    <w:p>
      <w:pPr>
        <w:pStyle w:val="BodyText"/>
        <w:rPr>
          <w:lang w:val="ru-RU"/>
        </w:rPr>
      </w:pPr>
      <w:r>
        <w:rPr/>
        <w:t>4.</w:t>
        <w:tab/>
      </w:r>
      <w:r>
        <w:rPr/>
        <w:t xml:space="preserve">«Ultra weak photon emission—a brief review» (2024). PMC. URL: </w:t>
      </w:r>
      <w:hyperlink r:id="rId5">
        <w:r>
          <w:rPr>
            <w:rStyle w:val="Hyperlink"/>
          </w:rPr>
          <w:t>https://pmc.ncbi.nlm.nih.gov/articles/PMC10899412/</w:t>
        </w:r>
      </w:hyperlink>
    </w:p>
    <w:p>
      <w:pPr>
        <w:pStyle w:val="BodyText"/>
        <w:rPr>
          <w:lang w:val="ru-RU"/>
        </w:rPr>
      </w:pPr>
      <w:r>
        <w:rPr/>
        <w:t>5.</w:t>
        <w:tab/>
      </w:r>
      <w:r>
        <w:rPr/>
        <w:t xml:space="preserve">Biophotonic activity and transmission mediated by mutual actions of neurotransmitters are involved in the origin and altered states of consciousness. (2018). PMC. URL: </w:t>
      </w:r>
      <w:hyperlink r:id="rId6">
        <w:r>
          <w:rPr>
            <w:rStyle w:val="Hyperlink"/>
          </w:rPr>
          <w:t>https://pmc.ncbi.nlm.nih.gov/articles/PMC5960451/</w:t>
        </w:r>
      </w:hyperlink>
    </w:p>
    <w:p>
      <w:pPr>
        <w:pStyle w:val="BodyText"/>
        <w:rPr>
          <w:lang w:val="ru-RU"/>
        </w:rPr>
      </w:pPr>
      <w:r>
        <w:rPr/>
        <w:t>6.</w:t>
        <w:tab/>
      </w:r>
      <w:r>
        <w:rPr/>
        <w:t xml:space="preserve">Biophotons: A Hard Problem (2022). MDPI. URL: </w:t>
      </w:r>
      <w:hyperlink r:id="rId7">
        <w:r>
          <w:rPr>
            <w:rStyle w:val="Hyperlink"/>
          </w:rPr>
          <w:t>https://www.mdpi.com/2076-3417/14/13/5496</w:t>
        </w:r>
      </w:hyperlink>
    </w:p>
    <w:p>
      <w:pPr>
        <w:pStyle w:val="BodyText"/>
        <w:rPr>
          <w:lang w:val="ru-RU"/>
        </w:rPr>
      </w:pPr>
      <w:r>
        <w:rPr/>
        <w:t>7.</w:t>
        <w:tab/>
      </w:r>
      <w:r>
        <w:rPr/>
        <w:t xml:space="preserve">Nevoit et al. The concept of biophoton signaling in the human body and brain (2025). Frontiers in Systems Neuroscience. URL: </w:t>
      </w:r>
      <w:hyperlink r:id="rId8">
        <w:r>
          <w:rPr>
            <w:rStyle w:val="Hyperlink"/>
          </w:rPr>
          <w:t>https://www.frontiersin.org/journals/systems-neuroscience/articles/10.3389/fnsys.2025.1597329/full</w:t>
        </w:r>
      </w:hyperlink>
    </w:p>
    <w:p>
      <w:pPr>
        <w:pStyle w:val="BodyText"/>
        <w:rPr>
          <w:lang w:val="ru-RU"/>
        </w:rPr>
      </w:pPr>
      <w:r>
        <w:rPr/>
        <w:t>8.</w:t>
        <w:tab/>
      </w:r>
      <w:r>
        <w:rPr/>
        <w:t>В. Скурлатов. «Зри наоборот». // Техника — молодёжи. – 1970. – № 2. – С. 48</w:t>
        <w:noBreakHyphen/>
        <w:t xml:space="preserve">49, 54. URL: </w:t>
      </w:r>
      <w:hyperlink r:id="rId9">
        <w:r>
          <w:rPr>
            <w:rStyle w:val="Hyperlink"/>
          </w:rPr>
          <w:t>https://fantlab.ru/edition386382</w:t>
        </w:r>
      </w:hyperlink>
    </w:p>
    <w:p>
      <w:pPr>
        <w:pStyle w:val="BodyText"/>
        <w:spacing w:before="0" w:after="140"/>
        <w:rPr>
          <w:lang w:val="ru-RU"/>
        </w:rPr>
      </w:pPr>
      <w:r>
        <w:rPr/>
        <w:t>9.</w:t>
        <w:tab/>
      </w:r>
      <w:r>
        <w:rPr/>
        <w:t>«Подсознание на фотобумаге». // Изобретатель и рационализатор. – 1979. – № 9. – С. 4</w:t>
        <w:noBreakHyphen/>
        <w:t>7, 24</w:t>
        <w:noBreakHyphen/>
        <w:t>25. (Ссылка не найдена в открытом доступе.)</w:t>
      </w:r>
      <w:r>
        <w:rPr/>
        <w:tab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72226d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72226d"/>
    <w:rPr>
      <w:b/>
      <w:bCs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72226d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72226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mc.ncbi.nlm.nih.gov/articles/PMC11927727/" TargetMode="External"/><Relationship Id="rId3" Type="http://schemas.openxmlformats.org/officeDocument/2006/relationships/hyperlink" Target="https://pubmed.ncbi.nlm.nih.gov/26336891/" TargetMode="External"/><Relationship Id="rId4" Type="http://schemas.openxmlformats.org/officeDocument/2006/relationships/hyperlink" Target="https://www.sciencedirect.com/science/article/pii/S1011134421000191" TargetMode="External"/><Relationship Id="rId5" Type="http://schemas.openxmlformats.org/officeDocument/2006/relationships/hyperlink" Target="https://pmc.ncbi.nlm.nih.gov/articles/PMC10899412/" TargetMode="External"/><Relationship Id="rId6" Type="http://schemas.openxmlformats.org/officeDocument/2006/relationships/hyperlink" Target="https://pmc.ncbi.nlm.nih.gov/articles/PMC5960451/" TargetMode="External"/><Relationship Id="rId7" Type="http://schemas.openxmlformats.org/officeDocument/2006/relationships/hyperlink" Target="https://www.mdpi.com/2076-3417/14/13/5496" TargetMode="External"/><Relationship Id="rId8" Type="http://schemas.openxmlformats.org/officeDocument/2006/relationships/hyperlink" Target="https://www.frontiersin.org/journals/systems-neuroscience/articles/10.3389/fnsys.2025.1597329/full" TargetMode="External"/><Relationship Id="rId9" Type="http://schemas.openxmlformats.org/officeDocument/2006/relationships/hyperlink" Target="https://fantlab.ru/edition386382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Application>LibreOffice/25.2.6.2$Linux_X86_64 LibreOffice_project/520$Build-2</Application>
  <AppVersion>15.0000</AppVersion>
  <Pages>6</Pages>
  <Words>1594</Words>
  <Characters>12496</Characters>
  <CharactersWithSpaces>14036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2025-11-07T20:03:00Z</dcterms:created>
  <dc:creator>User</dc:creator>
  <dc:description/>
  <dc:language>es-MX</dc:language>
  <cp:lastModifiedBy/>
  <dcterms:modified xsi:type="dcterms:W3CDTF">2025-11-07T17:16:09Z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