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b/>
          <w:bCs/>
          <w:sz w:val="44"/>
          <w:szCs w:val="44"/>
        </w:rPr>
        <w:t xml:space="preserve">Test Strategy</w:t>
      </w:r>
    </w:p>
    <w:p>
      <w:pPr>
        <w:spacing w:after="120"/>
        <w:jc w:val="center"/>
      </w:pPr>
      <w:r>
        <w:rPr>
          <w:color w:val="555555"/>
          <w:sz w:val="26"/>
          <w:szCs w:val="26"/>
        </w:rPr>
        <w:t xml:space="preserve">Sistema de Gestão de Equipamentos — Fast2Mine</w:t>
      </w:r>
    </w:p>
    <w:p>
      <w:pPr>
        <w:spacing w:after="360"/>
        <w:jc w:val="center"/>
      </w:pPr>
      <w:r>
        <w:rPr>
          <w:i/>
          <w:iCs/>
          <w:color w:val="888888"/>
          <w:sz w:val="20"/>
          <w:szCs w:val="20"/>
        </w:rPr>
        <w:t xml:space="preserve">v1.0 — QA Engineering Team</w:t>
      </w:r>
    </w:p>
    <w:p>
      <w:pPr>
        <w:pStyle w:val="Heading1"/>
        <w:spacing w:after="140" w:before="280"/>
      </w:pPr>
      <w:r>
        <w:rPr>
          <w:b/>
          <w:bCs/>
          <w:sz w:val="36"/>
          <w:szCs w:val="36"/>
        </w:rPr>
        <w:t xml:space="preserve">1. Contexto e Objetivo</w:t>
      </w:r>
    </w:p>
    <w:p>
      <w:pPr>
        <w:spacing w:after="80" w:before="80"/>
      </w:pPr>
      <w:r>
        <w:rPr>
          <w:sz w:val="22"/>
          <w:szCs w:val="22"/>
        </w:rPr>
        <w:t xml:space="preserve">Este documento define a estratégia de testes para o sistema de gestão de equipamentos da Fast2Mine, abrangendo Web, Mobile e API. O sistema opera em três ambientes (QA1, QA2, QA3), cada um com seu próprio conjunto de equipamentos válidos, simulando um modelo multi-tenant onde o isolamento de dados é crítico.</w:t>
      </w:r>
    </w:p>
    <w:p>
      <w:pPr>
        <w:spacing w:after="80" w:before="80"/>
      </w:pPr>
      <w:r>
        <w:rPr>
          <w:sz w:val="22"/>
          <w:szCs w:val="22"/>
        </w:rPr>
        <w:t xml:space="preserve">O objetivo desta estratégia é garantir cobertura de qualidade adequada ao risco do negócio, otimizando o ROI dos testes (relação custo de manutenção × bugs prevenidos em produção), com base nas práticas modernas de Test Pyramid e Shift-Left.</w:t>
      </w:r>
    </w:p>
    <w:p>
      <w:pPr>
        <w:pStyle w:val="Heading1"/>
        <w:spacing w:after="140" w:before="280"/>
      </w:pPr>
      <w:r>
        <w:rPr>
          <w:b/>
          <w:bCs/>
          <w:sz w:val="36"/>
          <w:szCs w:val="36"/>
        </w:rPr>
        <w:t xml:space="preserve">2. Escopo</w:t>
      </w:r>
    </w:p>
    <w:p>
      <w:pPr>
        <w:pStyle w:val="Heading2"/>
        <w:spacing w:after="140" w:before="280"/>
      </w:pPr>
      <w:r>
        <w:rPr>
          <w:b/>
          <w:bCs/>
          <w:sz w:val="28"/>
          <w:szCs w:val="28"/>
        </w:rPr>
        <w:t xml:space="preserve">2.1. Em escopo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Fluxos críticos da tela de Equipamentos: busca, edição, validação de status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Isolamento por ambiente (multi-tenancy)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Contratos de API (request/response schemas, status codes, SLA)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Compatibilidade Web (Chromium) e Mobile (Android UiAutomator2)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Testes não-funcionais leves: performance básica (response time) e resiliência (retries)</w:t>
      </w:r>
    </w:p>
    <w:p>
      <w:pPr>
        <w:pStyle w:val="Heading2"/>
        <w:spacing w:after="140" w:before="280"/>
      </w:pPr>
      <w:r>
        <w:rPr>
          <w:b/>
          <w:bCs/>
          <w:sz w:val="28"/>
          <w:szCs w:val="28"/>
        </w:rPr>
        <w:t xml:space="preserve">2.2. Fora de escopo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Testes de carga/stress (delegados a ferramenta dedicada — JMeter/k6)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Testes de segurança avançados (delegados a equipe de AppSec — DAST/SAST)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Testes de acessibilidade (escopo de iteração futura)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Testes em iOS (não suportado pelo produto no momento)</w:t>
      </w:r>
    </w:p>
    <w:p>
      <w:pPr>
        <w:pStyle w:val="Heading1"/>
        <w:spacing w:after="140" w:before="280"/>
      </w:pPr>
      <w:r>
        <w:rPr>
          <w:b/>
          <w:bCs/>
          <w:sz w:val="36"/>
          <w:szCs w:val="36"/>
        </w:rPr>
        <w:t xml:space="preserve">3. Test Pyramid e Distribuição</w:t>
      </w:r>
    </w:p>
    <w:p>
      <w:pPr>
        <w:spacing w:after="80" w:before="80"/>
      </w:pPr>
      <w:r>
        <w:rPr>
          <w:sz w:val="22"/>
          <w:szCs w:val="22"/>
        </w:rPr>
        <w:t xml:space="preserve">Adotamos a Test Pyramid clássica, priorizando testes baixos na pirâmide (rápidos, baratos, estáveis) e usando UI tests com parcimônia para cobrir fluxos end-to-end críticos.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5760"/>
      </w:tblGrid>
      <w:tr>
        <w:trPr>
          <w:tblHeader/>
        </w:trPr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D7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b/>
                <w:bCs/>
                <w:sz w:val="20"/>
                <w:szCs w:val="20"/>
              </w:rPr>
              <w:t xml:space="preserve">Camada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D7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b/>
                <w:bCs/>
                <w:sz w:val="20"/>
                <w:szCs w:val="20"/>
              </w:rPr>
              <w:t xml:space="preserve">% Cobertura Alvo</w:t>
            </w:r>
          </w:p>
        </w:tc>
        <w:tc>
          <w:tcPr>
            <w:tcW w:type="dxa" w:w="5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D7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b/>
                <w:bCs/>
                <w:sz w:val="20"/>
                <w:szCs w:val="20"/>
              </w:rPr>
              <w:t xml:space="preserve">Responsabilidade</w:t>
            </w:r>
          </w:p>
        </w:tc>
      </w:tr>
      <w:tr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b/>
                <w:bCs/>
                <w:sz w:val="20"/>
                <w:szCs w:val="20"/>
              </w:rPr>
              <w:t xml:space="preserve">Unit (dev)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70%</w:t>
            </w:r>
          </w:p>
        </w:tc>
        <w:tc>
          <w:tcPr>
            <w:tcW w:type="dxa" w:w="5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Lógica de negócio isolada; validações de regras; mocks de dependências externas</w:t>
            </w:r>
          </w:p>
        </w:tc>
      </w:tr>
      <w:tr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b/>
                <w:bCs/>
                <w:sz w:val="20"/>
                <w:szCs w:val="20"/>
              </w:rPr>
              <w:t xml:space="preserve">API/Integração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20%</w:t>
            </w:r>
          </w:p>
        </w:tc>
        <w:tc>
          <w:tcPr>
            <w:tcW w:type="dxa" w:w="5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Contratos REST, schemas, autenticação, SLA, isolamento por tenant — esta suíte (tests/api/)</w:t>
            </w:r>
          </w:p>
        </w:tc>
      </w:tr>
      <w:tr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b/>
                <w:bCs/>
                <w:sz w:val="20"/>
                <w:szCs w:val="20"/>
              </w:rPr>
              <w:t xml:space="preserve">E2E (UI Web + Mobile)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10%</w:t>
            </w:r>
          </w:p>
        </w:tc>
        <w:tc>
          <w:tcPr>
            <w:tcW w:type="dxa" w:w="5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Smoke + fluxos críticos do usuário; nunca duplica o que é testável em camada inferior</w:t>
            </w:r>
          </w:p>
        </w:tc>
      </w:tr>
    </w:tbl>
    <w:p>
      <w:pPr>
        <w:pStyle w:val="Heading1"/>
        <w:spacing w:after="140" w:before="280"/>
      </w:pPr>
      <w:r>
        <w:rPr>
          <w:b/>
          <w:bCs/>
          <w:sz w:val="36"/>
          <w:szCs w:val="36"/>
        </w:rPr>
        <w:t xml:space="preserve">4. Estratégia por Tipo de Teste</w:t>
      </w:r>
    </w:p>
    <w:p>
      <w:pPr>
        <w:pStyle w:val="Heading2"/>
        <w:spacing w:after="140" w:before="280"/>
      </w:pPr>
      <w:r>
        <w:rPr>
          <w:b/>
          <w:bCs/>
          <w:sz w:val="28"/>
          <w:szCs w:val="28"/>
        </w:rPr>
        <w:t xml:space="preserve">4.1. UI Web — Robot Framework + Browser Library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Page Object Model: locators e ações isolados por tela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Headless por padrão em CI; headful em debug local (override via variável)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Locators preferenciais: data-test attributes &gt; id &gt; role &gt; CSS class (instável)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Auto-screenshot em falha (via listener), vídeo opcional para suites de regressão noturna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Browser Library escolhida sobre Selenium por: maior estabilidade, auto-wait nativo, API moderna e suporte a múltiplas tabs/contexts</w:t>
      </w:r>
    </w:p>
    <w:p>
      <w:pPr>
        <w:pStyle w:val="Heading2"/>
        <w:spacing w:after="140" w:before="280"/>
      </w:pPr>
      <w:r>
        <w:rPr>
          <w:b/>
          <w:bCs/>
          <w:sz w:val="28"/>
          <w:szCs w:val="28"/>
        </w:rPr>
        <w:t xml:space="preserve">4.2. UI Mobile — Appium + AppiumLibrary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Estratégia Page Object equivalente à Web, com seletores accessibility_id como padrão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Reutilização de keywords de negócio onde a lógica é equivalente à Web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Execução em emulador Android para CI; dispositivos reais via BrowserStack/Sauce Labs para regressão pré-release</w:t>
      </w:r>
    </w:p>
    <w:p>
      <w:pPr>
        <w:pStyle w:val="Heading2"/>
        <w:spacing w:after="140" w:before="280"/>
      </w:pPr>
      <w:r>
        <w:rPr>
          <w:b/>
          <w:bCs/>
          <w:sz w:val="28"/>
          <w:szCs w:val="28"/>
        </w:rPr>
        <w:t xml:space="preserve">4.3. API — RequestsLibrary + JSON Schema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Validação contratual obrigatória: todo endpoint testado valida schema da resposta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SLA monitorado: response_time &lt; 500ms para reads (P95), &lt; 1s para writes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Setup/teardown via API quando possível: 10-100x mais rápido que via UI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Detecção precoce de breaking changes via schema drift</w:t>
      </w:r>
    </w:p>
    <w:p>
      <w:pPr>
        <w:pStyle w:val="Heading1"/>
        <w:spacing w:after="140" w:before="280"/>
      </w:pPr>
      <w:r>
        <w:rPr>
          <w:b/>
          <w:bCs/>
          <w:sz w:val="36"/>
          <w:szCs w:val="36"/>
        </w:rPr>
        <w:t xml:space="preserve">5. Estratégia de Dados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Massa dinâmica: cada execução gera dados únicos (timestamp + UUID curto) — evita colisão em execução paralela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Cleanup explícito via teardown: nenhum teste deixa estado residual no ambiente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Equipamentos válidos por ambiente são seeded via fixtures, não criados pelos testes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Credenciais via Secrets Manager (GitHub Secrets em CI, .env em dev local)</w:t>
      </w:r>
    </w:p>
    <w:p>
      <w:pPr>
        <w:pStyle w:val="Heading1"/>
        <w:spacing w:after="140" w:before="280"/>
      </w:pPr>
      <w:r>
        <w:rPr>
          <w:b/>
          <w:bCs/>
          <w:sz w:val="36"/>
          <w:szCs w:val="36"/>
        </w:rPr>
        <w:t xml:space="preserve">6. Critérios de Entrada e Saída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D7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b/>
                <w:bCs/>
                <w:sz w:val="20"/>
                <w:szCs w:val="20"/>
              </w:rPr>
              <w:t xml:space="preserve">Critério</w:t>
            </w:r>
          </w:p>
        </w:tc>
        <w:tc>
          <w:tcPr>
            <w:tcW w:type="dxa" w:w="6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D7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b/>
                <w:bCs/>
                <w:sz w:val="20"/>
                <w:szCs w:val="20"/>
              </w:rPr>
              <w:t xml:space="preserve">Regra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b/>
                <w:bCs/>
                <w:sz w:val="20"/>
                <w:szCs w:val="20"/>
              </w:rPr>
              <w:t xml:space="preserve">Entrada (kick-off)</w:t>
            </w:r>
          </w:p>
        </w:tc>
        <w:tc>
          <w:tcPr>
            <w:tcW w:type="dxa" w:w="6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Build deployado no ambiente alvo</w:t>
            </w:r>
          </w:p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Smoke da camada de API verde</w:t>
            </w:r>
          </w:p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Massa de dados base disponível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b/>
                <w:bCs/>
                <w:sz w:val="20"/>
                <w:szCs w:val="20"/>
              </w:rPr>
              <w:t xml:space="preserve">Saída (release)</w:t>
            </w:r>
          </w:p>
        </w:tc>
        <w:tc>
          <w:tcPr>
            <w:tcW w:type="dxa" w:w="6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100% dos testes P0/Smoke passando</w:t>
            </w:r>
          </w:p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≥95% dos testes P1 passando</w:t>
            </w:r>
          </w:p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Nenhum bug aberto com severidade Crítica/Alta</w:t>
            </w:r>
          </w:p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Cobertura de código ≥ 70% (camada unit)</w:t>
            </w:r>
          </w:p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Pipeline de CI verde nas últimas 3 execuções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b/>
                <w:bCs/>
                <w:sz w:val="20"/>
                <w:szCs w:val="20"/>
              </w:rPr>
              <w:t xml:space="preserve">Suspensão</w:t>
            </w:r>
          </w:p>
        </w:tc>
        <w:tc>
          <w:tcPr>
            <w:tcW w:type="dxa" w:w="6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Falha de mais de 30% dos smokes</w:t>
            </w:r>
          </w:p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Bloqueio de infraestrutura (ambiente fora do ar)</w:t>
            </w:r>
          </w:p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Bug crítico identificado em produção via hotfix</w:t>
            </w:r>
          </w:p>
        </w:tc>
      </w:tr>
    </w:tbl>
    <w:p>
      <w:pPr>
        <w:pStyle w:val="Heading1"/>
        <w:spacing w:after="140" w:before="280"/>
      </w:pPr>
      <w:r>
        <w:rPr>
          <w:b/>
          <w:bCs/>
          <w:sz w:val="36"/>
          <w:szCs w:val="36"/>
        </w:rPr>
        <w:t xml:space="preserve">7. Gestão de Flakiness</w:t>
      </w:r>
    </w:p>
    <w:p>
      <w:pPr>
        <w:spacing w:after="80" w:before="80"/>
      </w:pPr>
      <w:r>
        <w:rPr>
          <w:sz w:val="22"/>
          <w:szCs w:val="22"/>
        </w:rPr>
        <w:t xml:space="preserve">Flakiness é tratada como bug, não como ruído aceitável. Política: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Todo teste flaky é taggeado @flaky e isolado da pipeline principal em até 24h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Investigação obrigatória em até 5 dias úteis; nunca apenas 'aumentar timeout'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Métrica de saúde: taxa de re-run &lt; 2% das execuções em CI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Padrões aplicados: Wait For Function (polling estável), Page Object Pattern, evitar Sleep absoluto</w:t>
      </w:r>
    </w:p>
    <w:p>
      <w:pPr>
        <w:pStyle w:val="Heading1"/>
        <w:spacing w:after="140" w:before="280"/>
      </w:pPr>
      <w:r>
        <w:rPr>
          <w:b/>
          <w:bCs/>
          <w:sz w:val="36"/>
          <w:szCs w:val="36"/>
        </w:rPr>
        <w:t xml:space="preserve">8. Ambientes e Configuração</w:t>
      </w:r>
    </w:p>
    <w:p>
      <w:pPr>
        <w:spacing w:after="80" w:before="80"/>
      </w:pPr>
      <w:r>
        <w:rPr>
          <w:sz w:val="22"/>
          <w:szCs w:val="22"/>
        </w:rPr>
        <w:t xml:space="preserve">Estratégia multi-ambiente sem alteração do código dos testes: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environments/qa[1-3].robot — única fonte de URL, equipamento e configs por ambiente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Resolvido em runtime via -V no CLI ou variável ENV no CI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Credenciais NUNCA versionadas: GitHub Secrets em CI, .env (gitignored) em dev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Promotion path: feature → develop (QA1) → main (QA2 → QA3)</w:t>
      </w:r>
    </w:p>
    <w:p>
      <w:pPr>
        <w:pStyle w:val="Heading1"/>
        <w:spacing w:after="140" w:before="280"/>
      </w:pPr>
      <w:r>
        <w:rPr>
          <w:b/>
          <w:bCs/>
          <w:sz w:val="36"/>
          <w:szCs w:val="36"/>
        </w:rPr>
        <w:t xml:space="preserve">9. CI/CD e Reporting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GitHub Actions: matriz QA1 × QA2 × QA3 × (web, api) — 6 jobs paralelos por push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Smoke noturno agendado (06:00 UTC)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Reports: HTML nativo Robot + Allure (histórico/trend) + JSON metrics customizado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Notificação Slack em falhas críticas via listener customizado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Quality Gate: Robocop (linter) + Robotidy (formatter) bloqueiam merge se violarem padrões</w:t>
      </w:r>
    </w:p>
    <w:p>
      <w:pPr>
        <w:pStyle w:val="Heading1"/>
        <w:spacing w:after="140" w:before="280"/>
      </w:pPr>
      <w:r>
        <w:rPr>
          <w:b/>
          <w:bCs/>
          <w:sz w:val="36"/>
          <w:szCs w:val="36"/>
        </w:rPr>
        <w:t xml:space="preserve">10. Métricas de Sucesso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D7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b/>
                <w:bCs/>
                <w:sz w:val="20"/>
                <w:szCs w:val="20"/>
              </w:rPr>
              <w:t xml:space="preserve">Métrica</w:t>
            </w:r>
          </w:p>
        </w:tc>
        <w:tc>
          <w:tcPr>
            <w:tcW w:type="dxa" w:w="6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D7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b/>
                <w:bCs/>
                <w:sz w:val="20"/>
                <w:szCs w:val="20"/>
              </w:rPr>
              <w:t xml:space="preserve">Alvo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Tempo de execução da suite web completa</w:t>
            </w:r>
          </w:p>
        </w:tc>
        <w:tc>
          <w:tcPr>
            <w:tcW w:type="dxa" w:w="6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&lt; 5 minutos (com Pabot)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Taxa de flakiness</w:t>
            </w:r>
          </w:p>
        </w:tc>
        <w:tc>
          <w:tcPr>
            <w:tcW w:type="dxa" w:w="6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&lt; 2%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Cobertura de fluxos críticos</w:t>
            </w:r>
          </w:p>
        </w:tc>
        <w:tc>
          <w:tcPr>
            <w:tcW w:type="dxa" w:w="6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100%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MTTR de teste quebrado</w:t>
            </w:r>
          </w:p>
        </w:tc>
        <w:tc>
          <w:tcPr>
            <w:tcW w:type="dxa" w:w="6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&lt; 24h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Bugs detectados em CI vs. produção</w:t>
            </w:r>
          </w:p>
        </w:tc>
        <w:tc>
          <w:tcPr>
            <w:tcW w:type="dxa" w:w="6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Razão 10:1</w:t>
            </w:r>
          </w:p>
        </w:tc>
      </w:tr>
    </w:tbl>
    <w:p>
      <w:pPr>
        <w:pStyle w:val="Heading1"/>
        <w:spacing w:after="140" w:before="280"/>
      </w:pPr>
      <w:r>
        <w:rPr>
          <w:b/>
          <w:bCs/>
          <w:sz w:val="36"/>
          <w:szCs w:val="36"/>
        </w:rPr>
        <w:t xml:space="preserve">11. Riscos e Mitigações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D7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b/>
                <w:bCs/>
                <w:sz w:val="20"/>
                <w:szCs w:val="20"/>
              </w:rPr>
              <w:t xml:space="preserve">Risco</w:t>
            </w:r>
          </w:p>
        </w:tc>
        <w:tc>
          <w:tcPr>
            <w:tcW w:type="dxa" w:w="6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D7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b/>
                <w:bCs/>
                <w:sz w:val="20"/>
                <w:szCs w:val="20"/>
              </w:rPr>
              <w:t xml:space="preserve">Mitigação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Ambiente QA instável</w:t>
            </w:r>
          </w:p>
        </w:tc>
        <w:tc>
          <w:tcPr>
            <w:tcW w:type="dxa" w:w="6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Health-check pré-execução; suspensão automática se backend não responder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Acoplamento UI x backend</w:t>
            </w:r>
          </w:p>
        </w:tc>
        <w:tc>
          <w:tcPr>
            <w:tcW w:type="dxa" w:w="6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Camada de API valida contratos independentemente; UI testa apenas a integração visual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Tempo de execução crescente</w:t>
            </w:r>
          </w:p>
        </w:tc>
        <w:tc>
          <w:tcPr>
            <w:tcW w:type="dxa" w:w="6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Pabot (paralelização) + tags para execução seletiva (smoke/regression)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Drift entre ambientes</w:t>
            </w:r>
          </w:p>
        </w:tc>
        <w:tc>
          <w:tcPr>
            <w:tcW w:type="dxa" w:w="6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Matriz CI executa em todos os ambientes; differences flagged automaticamente</w:t>
            </w:r>
          </w:p>
        </w:tc>
      </w:tr>
    </w:tbl>
    <w:p>
      <w:pPr>
        <w:pStyle w:val="Heading1"/>
        <w:spacing w:after="140" w:before="280"/>
      </w:pPr>
      <w:r>
        <w:rPr>
          <w:b/>
          <w:bCs/>
          <w:sz w:val="36"/>
          <w:szCs w:val="36"/>
        </w:rPr>
        <w:t xml:space="preserve">12. Roadmap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Fase 1 (atual): Smoke + fluxos críticos Web/API/Mobile, multi-ambiente, CI/CD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Fase 2 (próximas 4 semanas): Visual regression (Percy/Chromatic), testes de acessibilidade (axe-core)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Fase 3 (Q2): Performance contínua (k6 integrado ao pipeline), chaos testing leve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Fase 4 (Q3): Synthetic monitoring em produção, integração com TMS (Zephyr/TestRail)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Test Strategy - Fast2Mine</dc:title>
  <dc:creator>QA Engineering</dc:creator>
  <cp:lastModifiedBy>Un-named</cp:lastModifiedBy>
  <cp:revision>1</cp:revision>
  <dcterms:created xsi:type="dcterms:W3CDTF">2026-05-29T20:20:14.003Z</dcterms:created>
  <dcterms:modified xsi:type="dcterms:W3CDTF">2026-05-29T20:20:14.013Z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