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Titulo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Universidade Estadual de Ponta Grossa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Denise do Rocio Maciel 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>mone Nasser Matos</w:t>
      </w:r>
    </w:p>
    <w:p>
      <w:pPr>
        <w:pStyle w:val="ListParagraph"/>
        <w:widowControl/>
        <w:suppressAutoHyphens w:val="true"/>
        <w:overflowPunct w:val="false"/>
        <w:bidi w:val="0"/>
        <w:spacing w:lineRule="auto" w:line="480" w:before="0" w:after="200"/>
        <w:ind w:left="89" w:righ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Palavras-Chave: 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Autor Correspondente: 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e-mail: dnise_maciel@hotmail.com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Denise do Rocio Maciel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Rua Luis de Camões – 75, Uvaranas.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Ponta Grossa - PR – Brasil.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CEP: 84020080.</w:t>
      </w:r>
    </w:p>
    <w:p>
      <w:pPr>
        <w:pStyle w:val="ListParagraph"/>
        <w:spacing w:lineRule="auto" w:line="480"/>
        <w:ind w:left="29" w:right="0" w:hanging="0"/>
        <w:jc w:val="both"/>
        <w:rPr/>
      </w:pPr>
      <w:r>
        <w:rPr/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0" w:right="0" w:hanging="0"/>
        <w:jc w:val="both"/>
        <w:rPr>
          <w:lang w:val="pt-PT"/>
        </w:rPr>
      </w:pPr>
      <w:r>
        <w:rPr>
          <w:rFonts w:ascii="Times New Roman" w:hAnsi="Times New Roman"/>
          <w:color w:val="FF3333"/>
          <w:sz w:val="24"/>
          <w:szCs w:val="24"/>
        </w:rPr>
        <w:t xml:space="preserve">Resumo: 300 palavras. Extruturado. </w:t>
      </w:r>
      <w:bookmarkStart w:id="0" w:name="result_box"/>
      <w:bookmarkEnd w:id="0"/>
      <w:r>
        <w:rPr>
          <w:lang w:val="pt-PT"/>
        </w:rPr>
        <w:t xml:space="preserve">Contexto, Objectivo, Método, Resultados e Conclusões. </w:t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color w:val="FF3333"/>
          <w:sz w:val="24"/>
          <w:szCs w:val="24"/>
          <w:lang w:val="pt-PT"/>
        </w:rPr>
      </w:pPr>
      <w:r>
        <w:rPr>
          <w:rFonts w:ascii="Times New Roman" w:hAnsi="Times New Roman"/>
          <w:color w:val="FF3333"/>
          <w:sz w:val="24"/>
          <w:szCs w:val="24"/>
          <w:lang w:val="pt-PT"/>
        </w:rPr>
        <w:t>Palavras – chave: maximo 6</w:t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color w:val="FF3333"/>
          <w:sz w:val="24"/>
          <w:szCs w:val="24"/>
          <w:lang w:val="pt-PT"/>
        </w:rPr>
      </w:pPr>
      <w:r>
        <w:rPr>
          <w:rFonts w:ascii="Times New Roman" w:hAnsi="Times New Roman"/>
          <w:color w:val="FF3333"/>
          <w:sz w:val="24"/>
          <w:szCs w:val="24"/>
          <w:lang w:val="pt-PT"/>
        </w:rPr>
        <w:t>AGRADECIMENTOS</w:t>
      </w:r>
    </w:p>
    <w:p>
      <w:pPr>
        <w:pStyle w:val="Normal"/>
        <w:spacing w:lineRule="auto" w:line="480"/>
        <w:ind w:left="0" w:right="0" w:hanging="0"/>
        <w:jc w:val="both"/>
        <w:rPr>
          <w:lang w:val="pt-PT"/>
        </w:rPr>
      </w:pPr>
      <w:r>
        <w:rPr>
          <w:lang w:val="pt-PT"/>
        </w:rPr>
        <w:t>Este trabalho foi apoiado pelo National Institutes of Health [conceder números xxxx, yyyy]; A Fundação Bill &amp; Melinda Gates, Seattle, WA [número de concessão zzzz]; E os Institutos de Paz dos Estados Unidos [número de concessão aaaa].</w:t>
      </w:r>
    </w:p>
    <w:p>
      <w:pPr>
        <w:pStyle w:val="ListParagraph"/>
        <w:spacing w:lineRule="auto" w:line="480"/>
        <w:ind w:left="0" w:right="0" w:hanging="0"/>
        <w:jc w:val="both"/>
        <w:rPr/>
      </w:pPr>
      <w:r>
        <w:rPr/>
      </w:r>
    </w:p>
    <w:p>
      <w:pPr>
        <w:pStyle w:val="ListParagraph"/>
        <w:spacing w:lineRule="auto" w:line="480"/>
        <w:ind w:left="0" w:right="0" w:hanging="0"/>
        <w:jc w:val="both"/>
        <w:rPr/>
      </w:pPr>
      <w:r>
        <w:rPr/>
      </w:r>
    </w:p>
    <w:p>
      <w:pPr>
        <w:pStyle w:val="ListParagraph"/>
        <w:spacing w:lineRule="auto" w:line="480"/>
        <w:ind w:left="0" w:right="0" w:hanging="0"/>
        <w:jc w:val="both"/>
        <w:rPr>
          <w:rFonts w:ascii="Times New Roman" w:hAnsi="Times New Roman"/>
          <w:color w:val="FF3333"/>
          <w:sz w:val="24"/>
          <w:szCs w:val="24"/>
          <w:lang w:val="pt-PT"/>
        </w:rPr>
      </w:pPr>
      <w:r>
        <w:rPr>
          <w:rFonts w:ascii="Times New Roman" w:hAnsi="Times New Roman"/>
          <w:color w:val="FF3333"/>
          <w:sz w:val="24"/>
          <w:szCs w:val="24"/>
          <w:lang w:val="pt-PT"/>
        </w:rPr>
        <w:t>REFERÊNCIAS</w:t>
      </w:r>
    </w:p>
    <w:p>
      <w:pPr>
        <w:pStyle w:val="ListParagraph"/>
        <w:spacing w:lineRule="auto" w:line="480"/>
        <w:ind w:left="29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pageBreakBefore/>
        <w:spacing w:lineRule="auto" w:line="480"/>
        <w:ind w:left="29" w:right="0" w:hanging="0"/>
        <w:jc w:val="both"/>
        <w:rPr>
          <w:rFonts w:ascii="Times New Roman" w:hAnsi="Times New Roman"/>
          <w:color w:val="FF333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Resumo:</w:t>
      </w:r>
      <w:r>
        <w:rPr>
          <w:rFonts w:ascii="Times New Roman" w:hAnsi="Times New Roman"/>
          <w:color w:val="FF3333"/>
          <w:sz w:val="24"/>
          <w:szCs w:val="24"/>
        </w:rPr>
        <w:t>(PENDENTE, até 200 palavras )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pageBreakBefore/>
        <w:widowControl/>
        <w:numPr>
          <w:ilvl w:val="0"/>
          <w:numId w:val="3"/>
        </w:numPr>
        <w:suppressAutoHyphens w:val="true"/>
        <w:overflowPunct w:val="false"/>
        <w:bidi w:val="0"/>
        <w:spacing w:lineRule="auto" w:line="480" w:before="0" w:after="200"/>
        <w:ind w:left="1080" w:right="0" w:hanging="36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INTRODUÇÃO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keepNext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Georrastreabilidade é a aplicação de geoinformação, através de tecnologia da informação e sensoriamento remoto, na rastreabilidade de cadeias produtiva. Permite associar atributos espaciais a outras informações do produto rastreado.(EMBRAPA, 2010). Além disso agrega qualidade ao produto, permitindo assegurar a origem e o manejo desde o campo até o consumidor final (</w:t>
      </w:r>
      <w:r>
        <w:rPr>
          <w:rFonts w:cs="Times New Roman" w:ascii="Times New Roman" w:hAnsi="Times New Roman"/>
          <w:sz w:val="24"/>
          <w:szCs w:val="24"/>
        </w:rPr>
        <w:t xml:space="preserve">TÔSTO </w:t>
      </w:r>
      <w:r>
        <w:rPr>
          <w:rFonts w:cs="Times New Roman" w:ascii="Times New Roman" w:hAnsi="Times New Roman"/>
          <w:i/>
          <w:sz w:val="24"/>
          <w:szCs w:val="24"/>
        </w:rPr>
        <w:t>et. al.</w:t>
      </w:r>
      <w:r>
        <w:rPr>
          <w:rFonts w:cs="Times New Roman" w:ascii="Times New Roman" w:hAnsi="Times New Roman"/>
          <w:sz w:val="24"/>
          <w:szCs w:val="24"/>
        </w:rPr>
        <w:t>,2014).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 geoinformação permite a análise espacial de fenômenos geográficos, o que faz com que a mesma seja uma forte aliada nas ações de planejamento, gestão e superação de problemas(HUBNER  et. al., 2008) . Sua eficiência está relacionada à disponibilidade de dados geoespaciais.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 catalogação desses atributos é necessária para que se produzam dados e informações capazes de serem acessadas e facilmente compreendidas por pessoas que delas necessitam ou que podem vir a utilizá-las para múltiplas finalidades(HUBNER  et. al., 2008) . Ademais, o desempenho de uma solução de geo-informação depende das definições dos requisitos do usuário(Sluter et. al., 2016).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Em vez do uso de tecnologia sofisticada , a eficácia, eficiência e satisfação do usuário deve ser o objetivo da solução de geo-informação (Sluter et. al., 2016). </w:t>
      </w:r>
      <w:r>
        <w:rPr>
          <w:rFonts w:cs="Times New Roman" w:ascii="Times New Roman" w:hAnsi="Times New Roman"/>
          <w:color w:val="00000A"/>
          <w:sz w:val="24"/>
          <w:szCs w:val="24"/>
        </w:rPr>
        <w:t>Dentre os segmentos que se destacam na produção e uso da geoinfomação tem-se governo, educação, gestão territorial, planejamento urbano e rural, agricultura, gestão ambiental, mineração, entre outros(HUBNER  et. al., 2008) 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O objetivo desse artigo é identificar  os atributos geográficos relacionados  a rastreabilidade  para o framework de rastreabilidade de grãos Rastrogrão. Como produto almeja-se m</w:t>
      </w:r>
      <w:ins w:id="0" w:author="Silvia Mantuani" w:date="2016-12-13T20:28:00Z">
        <w:r>
          <w:rPr>
            <w:rFonts w:cs="Times New Roman" w:ascii="Times New Roman" w:hAnsi="Times New Roman"/>
            <w:color w:val="000000"/>
            <w:sz w:val="24"/>
            <w:szCs w:val="24"/>
          </w:rPr>
          <w:t>elhorar a eficiência do framework</w:t>
        </w:r>
      </w:ins>
      <w:r>
        <w:rPr>
          <w:rFonts w:cs="Times New Roman" w:ascii="Times New Roman" w:hAnsi="Times New Roman"/>
          <w:color w:val="000000"/>
          <w:sz w:val="24"/>
          <w:szCs w:val="24"/>
        </w:rPr>
        <w:t xml:space="preserve"> e  </w:t>
      </w:r>
      <w:ins w:id="1" w:author="Silvia Mantuani" w:date="2016-12-13T20:29:00Z">
        <w:r>
          <w:rPr>
            <w:rFonts w:cs="Times New Roman" w:ascii="Times New Roman" w:hAnsi="Times New Roman"/>
            <w:color w:val="000000"/>
            <w:sz w:val="24"/>
            <w:szCs w:val="24"/>
          </w:rPr>
          <w:t>proporcionar</w:t>
        </w:r>
      </w:ins>
      <w:ins w:id="2" w:author="Silvia Mantuani" w:date="2016-12-13T20:30:00Z">
        <w:r>
          <w:rPr>
            <w:rFonts w:cs="Times New Roman" w:ascii="Times New Roman" w:hAnsi="Times New Roman"/>
            <w:color w:val="000000"/>
            <w:sz w:val="24"/>
            <w:szCs w:val="24"/>
          </w:rPr>
          <w:t xml:space="preserve"> aos consumidores maiores informações em relação ao produto</w:t>
        </w:r>
      </w:ins>
      <w:r>
        <w:rPr>
          <w:rFonts w:cs="Times New Roman" w:ascii="Times New Roman" w:hAnsi="Times New Roman"/>
          <w:color w:val="000000"/>
          <w:sz w:val="24"/>
          <w:szCs w:val="24"/>
        </w:rPr>
        <w:t xml:space="preserve"> final</w:t>
      </w:r>
      <w:r>
        <w:rPr>
          <w:rFonts w:cs="Times New Roman" w:ascii="Times New Roman" w:hAnsi="Times New Roman"/>
          <w:color w:val="00000A"/>
          <w:sz w:val="24"/>
          <w:szCs w:val="24"/>
        </w:rPr>
        <w:t>.</w:t>
      </w:r>
      <w:r>
        <w:rPr>
          <w:rFonts w:cs="Times New Roman" w:ascii="Times New Roman" w:hAnsi="Times New Roman"/>
          <w:color w:val="8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Além disso, desenvolvedores de software podem se basear nos requisitos geográficos apontados para futuros desenvolvimentos, isso porque um dos motivos que levou ao desenvolvimento da pesquisa foi a dificuldade de obtenção de exemplos de requisitos geográficos(Justificativa). 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>A fim de alcançar o objetivo será realizada análise de softwares de rastreabilidade e softwares geográficos visando o levantamento de requisitos geográficos. Posteriormente será desenvolvido questionário para validação da importância dos mesmos na rastreabilidade.(Metodologia)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Esse artigo está estruturado, além da seção introdutória, como segue. Na Seção 2 é abordado o tema Framework. Na Seção 3 trata-se a respeito de Geoinformação. Na Seção 4 aborda-se Georrastreabilidade. Na Seção 5 são analisados trabalhos correlatos, apresentando </w:t>
      </w:r>
      <w:r>
        <w:rPr>
          <w:rFonts w:cs="Times New Roman" w:ascii="Times New Roman" w:hAnsi="Times New Roman"/>
          <w:color w:val="CC0000"/>
          <w:sz w:val="24"/>
          <w:szCs w:val="24"/>
        </w:rPr>
        <w:t>suas vantagens e desvantagens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Finalizando, tem-se a a Seção 6 onde são abordadas as conclusões e </w:t>
      </w:r>
      <w:r>
        <w:rPr>
          <w:rFonts w:cs="Times New Roman" w:ascii="Times New Roman" w:hAnsi="Times New Roman"/>
          <w:color w:val="CC0000"/>
          <w:sz w:val="24"/>
          <w:szCs w:val="24"/>
        </w:rPr>
        <w:t>as perspectivas de pesquisas futuras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 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480" w:before="0" w:after="200"/>
        <w:ind w:left="1080" w:right="0" w:hanging="360"/>
        <w:contextualSpacing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FRAMEWOR DE RASTREABILIDADE</w:t>
      </w:r>
    </w:p>
    <w:p>
      <w:pPr>
        <w:pStyle w:val="ListParagraph"/>
        <w:widowControl/>
        <w:suppressAutoHyphens w:val="true"/>
        <w:bidi w:val="0"/>
        <w:spacing w:lineRule="auto" w:line="480" w:before="0" w:after="200"/>
        <w:ind w:left="29" w:righ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 xml:space="preserve">Karlsen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</w:rPr>
        <w:t xml:space="preserve">et. al. 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(2013)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</w:rPr>
        <w:t>apud</w:t>
      </w:r>
      <w:r>
        <w:rPr>
          <w:rFonts w:cs="Times New Roman" w:ascii="Times New Roman" w:hAnsi="Times New Roman"/>
          <w:color w:val="CC0000"/>
          <w:sz w:val="24"/>
          <w:szCs w:val="24"/>
        </w:rPr>
        <w:t xml:space="preserve"> Opara e Mazaud (2001) definem rastreabilidade como a coleta, documentação e gerenciamento de informações relativas ao processo da cadeia de abastec imento. Como resultado, tem-se a garantia ao consumidor da origem e ciclo de vida de um produto.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CC0000"/>
          <w:sz w:val="24"/>
          <w:szCs w:val="24"/>
        </w:rPr>
      </w:pPr>
      <w:r>
        <w:rPr>
          <w:rFonts w:ascii="Times New Roman" w:hAnsi="Times New Roman"/>
          <w:color w:val="CC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CC0000"/>
          <w:sz w:val="24"/>
          <w:szCs w:val="24"/>
        </w:rPr>
      </w:pPr>
      <w:r>
        <w:rPr>
          <w:rFonts w:ascii="Times New Roman" w:hAnsi="Times New Roman"/>
          <w:color w:val="CC0000"/>
          <w:sz w:val="24"/>
          <w:szCs w:val="24"/>
        </w:rPr>
        <w:t>A identificação da origem e do percurso realizado pelo produto é requisito fundamental para sistemas de gestão de qualidade e processos de normalização e certificação. Além das exigências legais em torno da rastreabilidade, o consumidor final busca acesso a respeito dos produtos a serem consumidos o que motiva o desenvolvimento de soluções tecnológicas nessa área (VAZ, 2015) 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CC0000"/>
          <w:sz w:val="24"/>
          <w:szCs w:val="24"/>
        </w:rPr>
      </w:pPr>
      <w:r>
        <w:rPr>
          <w:rFonts w:ascii="Times New Roman" w:hAnsi="Times New Roman"/>
          <w:color w:val="CC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CC0000"/>
          <w:sz w:val="24"/>
          <w:szCs w:val="24"/>
        </w:rPr>
      </w:pPr>
      <w:r>
        <w:rPr>
          <w:rFonts w:ascii="Times New Roman" w:hAnsi="Times New Roman"/>
          <w:color w:val="CC0000"/>
          <w:sz w:val="24"/>
          <w:szCs w:val="24"/>
        </w:rPr>
        <w:t>Vaz (2015) apresentou o framework RastroGrão para rastreabilidade do sistema produtivo de grãos. Os registros a serem manipulados são informados pelo próprio usuário e podem ser alterados conforme a necessidade de cada agente da cadeia de produção, o que elimina a necessidade de manutenção do sistema com o surgimento de um novo requisito.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PENDENTE(caso a publicação da IJOER saia a tempo inserir referência da construção do framework)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480"/>
        <w:ind w:left="1080" w:right="0" w:hanging="36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GEOINFORMAÇÃO</w:t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Os termos “Informação Geográfica”, ”Informação Geoespacial” e ”Geoinformação”s ão sinônimos e resultam do processamento e análise de dados geoespaciais(HUBNER  et. al., 2008) . Dados são qualquer coleção de fatos relacionados e organizados que permitem que se obtenha a noção de um fato, sua análise resulta em produção de informação (HUBNER  et. al., 2008).  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HUBNER et. al., 2008 definem Geoinformação como o acréscimo de significado e contexto de um dado geoespacial. A geoinformação é tida produto do processamento e análise desses dados, quando comunicada, interpretada e aplicada para uma determinada finalidade resulta na construção de conhecimento.</w:t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Para Câmara(2004) Geoinformação é o uso de computadores como  instrumentos de representação de dados espacialmente referenciados(CÂMARA,2004). Quanto mais eficiente for a organização desses dados e mais aperfeiçoada for a metodologia de interpretação e de emprego dos meios tecnológicos de processamento, mais confiável e produtiva será a informação geográfica gerada(HUBNER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et. al.</w:t>
      </w:r>
      <w:r>
        <w:rPr>
          <w:rFonts w:cs="Times New Roman" w:ascii="Times New Roman" w:hAnsi="Times New Roman"/>
          <w:color w:val="000000"/>
          <w:sz w:val="24"/>
          <w:szCs w:val="24"/>
        </w:rPr>
        <w:t>,2008).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480"/>
        <w:ind w:left="108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GEORRASTREABILIDADE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color w:val="CC0000"/>
          <w:sz w:val="24"/>
          <w:szCs w:val="24"/>
        </w:rPr>
      </w:pPr>
      <w:r>
        <w:rPr>
          <w:rFonts w:cs="Times New Roman" w:ascii="Times New Roman" w:hAnsi="Times New Roman"/>
          <w:color w:val="CC0000"/>
          <w:sz w:val="24"/>
          <w:szCs w:val="24"/>
        </w:rPr>
        <w:t>A Georrastreabilidade é a aplicação de Geoinformação por meio de tecnologia da informação e sensoriamento remoto, na rastreabilidade de cadeias produtivas. Associa atributos espaciais com outras informações sobre o produto. Como exemplo pode-se citar a origem, etapas de transformação, condições em que foi gerado, transporte, processamento e distribuição para o mercado consumidor (EMBRAPA, 2010).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 acordo com Tôsto </w:t>
      </w:r>
      <w:r>
        <w:rPr>
          <w:rFonts w:cs="Times New Roman" w:ascii="Times New Roman" w:hAnsi="Times New Roman"/>
          <w:i/>
          <w:sz w:val="24"/>
          <w:szCs w:val="24"/>
        </w:rPr>
        <w:t>et. al.</w:t>
      </w:r>
      <w:r>
        <w:rPr>
          <w:rFonts w:cs="Times New Roman" w:ascii="Times New Roman" w:hAnsi="Times New Roman"/>
          <w:sz w:val="24"/>
          <w:szCs w:val="24"/>
        </w:rPr>
        <w:t xml:space="preserve"> (2014) georrastreabilidade é um termo recente originário da rastreabilidade. Rastreabilidade está relacionada à necessidade de localizar um produto em qualquer momento de seu histórico na cadeia produtiva – plantio, colheita, transporte, armazenamento, processamento, distribuição e venda – funcionando como requisito principal para processo de segurança alimentar e controle de qualidade (ISO, 2005). A esse conceito foi adicionado às coordenadas geográficas compondo uma análise integrada de dos processos de produção, unindo os dados advindos da rastreabilidade convencional com a visão espacial e temporal do sistema de produção (TÔSTO </w:t>
      </w:r>
      <w:r>
        <w:rPr>
          <w:rFonts w:cs="Times New Roman" w:ascii="Times New Roman" w:hAnsi="Times New Roman"/>
          <w:i/>
          <w:sz w:val="24"/>
          <w:szCs w:val="24"/>
        </w:rPr>
        <w:t>et. al.</w:t>
      </w:r>
      <w:r>
        <w:rPr>
          <w:rFonts w:cs="Times New Roman" w:ascii="Times New Roman" w:hAnsi="Times New Roman"/>
          <w:sz w:val="24"/>
          <w:szCs w:val="24"/>
        </w:rPr>
        <w:t>, 2014).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Essa tecnologia é essencial, visto que o componente espacial aumenta o valor dos produtos no mercado, sendo utilizado como uma maneira de acrescer a confiança nos produtos adquiridos pelos consumidores, que terão o conhecimento em relação a trajetória, segurança e qualidade da produção ao consumo. Esse processo é realizado por meio de indicadores, em conformidade com as normas definidas, para integrar informações de fontes, qualidade e escalas de observação (OMETTO, et. al.,2007). </w:t>
      </w:r>
    </w:p>
    <w:p>
      <w:pPr>
        <w:pStyle w:val="ListParagraph"/>
        <w:numPr>
          <w:ilvl w:val="0"/>
          <w:numId w:val="3"/>
        </w:numPr>
        <w:spacing w:lineRule="auto" w:line="480"/>
        <w:ind w:left="108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RESULTADOS</w:t>
      </w:r>
    </w:p>
    <w:p>
      <w:pPr>
        <w:pStyle w:val="ListParagraph"/>
        <w:spacing w:lineRule="auto" w:line="480"/>
        <w:ind w:left="29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5.1.</w:t>
        <w:tab/>
        <w:t>IDENTIFICAÇÃO DE REQUISITOS</w:t>
      </w:r>
      <w:r>
        <w:rPr>
          <w:rFonts w:ascii="Times New Roman" w:hAnsi="Times New Roman"/>
          <w:sz w:val="24"/>
          <w:szCs w:val="24"/>
        </w:rPr>
        <w:commentReference w:id="0"/>
      </w:r>
    </w:p>
    <w:p>
      <w:pPr>
        <w:pStyle w:val="ListParagraph"/>
        <w:numPr>
          <w:ilvl w:val="0"/>
          <w:numId w:val="3"/>
        </w:numPr>
        <w:spacing w:lineRule="auto" w:line="480"/>
        <w:ind w:left="108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TRABALHOS CORRELATOS</w:t>
      </w:r>
    </w:p>
    <w:p>
      <w:pPr>
        <w:pStyle w:val="Normal"/>
        <w:widowControl/>
        <w:suppressAutoHyphens w:val="true"/>
        <w:overflowPunct w:val="false"/>
        <w:bidi w:val="0"/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georrastreabilidade foi aplicada em diversos projetos de softwares com o intuito de vincular coordenadas geográficas (x, y) a todas as informações de rastreabilidade pertinentes.</w:t>
      </w:r>
    </w:p>
    <w:p>
      <w:pPr>
        <w:pStyle w:val="Normal"/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Centro de Geomática Europeia (EGC) de Gers (uma das áreas agrícolas mais populosas da França) trabalha com diversos projetos que envolvem a integração da rastreabilidade com a geoinformação. Foi fundado em Auch - França em 1997, atuando como responsável pela realização de estudos e projetos (europeus e não europeus), colaborando com pesquisa e desenvolvimento na área de georrastreabilidade. Também em 1997, foi criado o Programa Teleparc que funciona como uma ferramenta útil e inovadora no reforço para departamento de participação dos Gers na área de geoinformação, atuando como um programa de inovação da comunidade européia que tem por finalidade propor soluções para a questão "de como a tecnologia da informação pode auxiliar comunidades rurais a superar seus desafios”. O EGC supervisionou a realização de oito projetos desde a sua criação, incluindo o projeto GeoTraceAgri, GTIS </w:t>
      </w:r>
      <w:commentRangeStart w:id="1"/>
      <w:r>
        <w:rPr>
          <w:rFonts w:cs="Times New Roman" w:ascii="Times New Roman" w:hAnsi="Times New Roman"/>
          <w:sz w:val="24"/>
          <w:szCs w:val="24"/>
        </w:rPr>
        <w:t>CAP - Geotraceability Integrated System for the Common Agricultural Policy</w:t>
      </w:r>
      <w:commentRangeEnd w:id="1"/>
      <w:r>
        <w:rPr>
          <w:rFonts w:cs="Times New Roman" w:ascii="Times New Roman" w:hAnsi="Times New Roman"/>
          <w:sz w:val="24"/>
          <w:szCs w:val="24"/>
        </w:rPr>
      </w:r>
      <w:r>
        <w:rPr>
          <w:rFonts w:cs="Times New Roman" w:ascii="Times New Roman" w:hAnsi="Times New Roman"/>
          <w:sz w:val="24"/>
          <w:szCs w:val="24"/>
        </w:rPr>
        <w:commentReference w:id="1"/>
      </w:r>
      <w:r>
        <w:rPr>
          <w:rFonts w:cs="Times New Roman" w:ascii="Times New Roman" w:hAnsi="Times New Roman"/>
          <w:sz w:val="24"/>
          <w:szCs w:val="24"/>
        </w:rPr>
        <w:t xml:space="preserve"> – em português Sistema Integrado Georrastreabilidade para a Política Agrícola Comum (SIG PAC) , GeoWine, Agri Teleparc.</w:t>
      </w:r>
    </w:p>
    <w:p>
      <w:pPr>
        <w:pStyle w:val="Normal"/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 projeto GeoTraceAgri (GTA), iniciado em 2001 com término em 2004, estudou os campos no Gers, especificamente o de vinhos e cereais (exatamente o trigo) tendo por objetivo na primeira tarefa definir os indicadores relevantes para a rastreabilidade geográfica para a produção integrada de culturas, considerando as várias escalas de referência espacial utilizadas (a parcela agrícola, o campo, a bacia hidrográfica e a área de rótulo de origem controlada). Em seguida, realizou-se o desenvolvimento de um quadro de referência geomática para a rastreabilidade agrícola para cada produção piloto integrada de culturas. A terceira fase consistiu no desenvolvimento da infra-estrutura de suporte de dados, acessível via </w:t>
      </w:r>
      <w:commentRangeStart w:id="2"/>
      <w:r>
        <w:rPr>
          <w:rFonts w:cs="Times New Roman" w:ascii="Times New Roman" w:hAnsi="Times New Roman"/>
          <w:sz w:val="24"/>
          <w:szCs w:val="24"/>
        </w:rPr>
        <w:t>Web,</w:t>
      </w:r>
      <w:commentRangeEnd w:id="2"/>
      <w:r>
        <w:rPr>
          <w:rFonts w:cs="Times New Roman" w:ascii="Times New Roman" w:hAnsi="Times New Roman"/>
          <w:sz w:val="24"/>
          <w:szCs w:val="24"/>
        </w:rPr>
      </w:r>
      <w:r>
        <w:rPr>
          <w:rFonts w:cs="Times New Roman" w:ascii="Times New Roman" w:hAnsi="Times New Roman"/>
          <w:sz w:val="24"/>
          <w:szCs w:val="24"/>
        </w:rPr>
        <w:commentReference w:id="2"/>
      </w:r>
      <w:r>
        <w:rPr>
          <w:rFonts w:cs="Times New Roman" w:ascii="Times New Roman" w:hAnsi="Times New Roman"/>
          <w:sz w:val="24"/>
          <w:szCs w:val="24"/>
        </w:rPr>
        <w:t xml:space="preserve"> para a rastreabilidade geográfica. Finalmente, foi realizada uma avaliação e validação da plataforma GeoTraceAgri e seu protótipo entre os grupos de usuários. O GTA contribuiu amplamente para a realização da georrastreabilidade, visando associar informações de natureza geográfica aos dados tradicionais de rastreabilidade, além de apoiar a agricultura e a promoção sustentável do território (TELEPARC, 2004).</w:t>
      </w:r>
    </w:p>
    <w:p>
      <w:pPr>
        <w:pStyle w:val="Normal"/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Integrado Georrastreabilidade para a Política Agrícola Comum - coordenado pela CCI do Gers (Chambre de Commerce et d'Industrie du Gers - Câmara de Comércio e Indústria do Gers), é uma ação de apoio específica da Comissão Europeia, que durou de Outubro de 2004 à Dezembro de 2005, tendo por finalidade construir protótipos avançados de sistemas integrados de georrastreabilidade para atender a requisitos de gestão, acompanhamento e controle da PAC e que dê aos usuários valor agregado na gestão de seus produtos. Além de facilitar o acesso a informações de georrastreabilidade assegurando uma maior eficiência na verificação e conformidade das boas práticas agrícolas, de acordo com as recomendações da PAC(TELEPARC, 2005).</w:t>
      </w:r>
    </w:p>
    <w:p>
      <w:pPr>
        <w:pStyle w:val="Normal"/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Europa é o número 1 como produtor, consumidor e exportador de vinhos do mundo. Com a inserção de novos vinhos no mercado, surgiu a necessidade de regulamentação adicional, principalmente em relação à questão da origem. A União Européia (EU) está preparando um novo regulamento que ira afetar todos os agentes da indústria de vinho, tendo como objetivo melhorar a qualidade, reformar e simplificar a rotulagem de garrafas. Assim sendo, o GeoWine é uma vantagem influente no presente e no futuro, tendo finalidades como:</w:t>
      </w:r>
    </w:p>
    <w:p>
      <w:pPr>
        <w:pStyle w:val="ListParagraph"/>
        <w:numPr>
          <w:ilvl w:val="0"/>
          <w:numId w:val="1"/>
        </w:numPr>
        <w:tabs>
          <w:tab w:val="left" w:pos="709" w:leader="none"/>
        </w:tabs>
        <w:spacing w:lineRule="auto" w:line="480" w:before="0" w:after="0"/>
        <w:ind w:left="72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Antecipar as diretivas da Comissão Europeia relativas a vinhos;</w:t>
      </w:r>
    </w:p>
    <w:p>
      <w:pPr>
        <w:pStyle w:val="ListParagraph"/>
        <w:numPr>
          <w:ilvl w:val="0"/>
          <w:numId w:val="1"/>
        </w:numPr>
        <w:tabs>
          <w:tab w:val="left" w:pos="709" w:leader="none"/>
        </w:tabs>
        <w:spacing w:lineRule="auto" w:line="480" w:before="0" w:after="0"/>
        <w:ind w:left="72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Melhor prevenir a falsificação, que hoje representa 8-10% do comércio internacional e 20-30% de vinho em determinados países;</w:t>
      </w:r>
    </w:p>
    <w:p>
      <w:pPr>
        <w:pStyle w:val="ListParagraph"/>
        <w:numPr>
          <w:ilvl w:val="0"/>
          <w:numId w:val="1"/>
        </w:numPr>
        <w:tabs>
          <w:tab w:val="left" w:pos="709" w:leader="none"/>
        </w:tabs>
        <w:spacing w:lineRule="auto" w:line="480" w:before="0" w:after="0"/>
        <w:ind w:left="72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Desenvolver parceria entre as empresas de pesquisa, que juntos irão desenvolver um novo produto georrastreabilidade inovador na autenticação.</w:t>
      </w:r>
    </w:p>
    <w:p>
      <w:pPr>
        <w:pStyle w:val="Normal"/>
        <w:tabs>
          <w:tab w:val="left" w:pos="0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Dessa forma o projeto GeoWine começou a ser desenvolvido em 2008, visando criar um sistema georrastreabilidade e autenticação para o vinho produzido na Região Midi-Pyrenees bem como para toda a Europa. Propiciando aos produtores de vinho uma ferramenta para acrescentar valor ao produto, tendo como característica informações referentes ao ambiente das zonas de produção, dados de rastreabilidade, dados analíticos e aplicações específicas. Permitindo o acesso rápido aos dados multidisciplinares de diferentes fontes (administrações regionais, administrações nacionais, instituições de pesquisa, serviços públicos, e produtores e suas associações). A plataforma permite acesso aos dados e as informações necessárias que possibilitou atingir os objetivos do projeto, como o cálculo de geo-indicadores, além de compartilhar serviços de infraestrutura de TI de forma padronizada entre parceiros (GeoWine,2008). </w:t>
      </w:r>
    </w:p>
    <w:p>
      <w:pPr>
        <w:pStyle w:val="Normal"/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Agri Teleparc é um projeto de estrutura, ou seja, uma plataforma aberta, que tem por finalidade coletar dados de georrastreabilidade, tornando-se um ambiente propício à transferência de informações de empresas e serviços de acolhimento nos domínios da agricultura, agro-alimentar, proteção ambiental e desenvolvimento sustentável das zonas rurais(TELEPARC,2016)</w:t>
      </w:r>
    </w:p>
    <w:p>
      <w:pPr>
        <w:pStyle w:val="Normal"/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Brasil a georrastreabilidade foi aplicada no Projeto Otag - Operational Management and Geodecisional Prototype to Track and Trace Agricultural Production, um protótipo de geodecisão para rastrear a produção agropecuária, desenvolvido em parceria com Cemagref (França), Empresa Brasileira de Pesquisa Agropecuária (Embrapa, Brasil), Université Laval (Canadá) e o Programa Cooperativo para el Desarrollo Tecnológico Agroalimentario y Agroindustrial del Cono Sur (PROCISUR, Argentina), com a finalidade de  utilizar equipamentos eletrônicos com tecnologias de georreferencimento em animais da cadeia de bovino de corte, assim como a aquisição, armazenamento e análise dos dados da movimentação (OTAG, 2008).</w:t>
      </w:r>
    </w:p>
    <w:p>
      <w:pPr>
        <w:pStyle w:val="Normal"/>
        <w:tabs>
          <w:tab w:val="left" w:pos="709" w:leader="none"/>
        </w:tabs>
        <w:spacing w:lineRule="auto" w:line="480" w:before="0" w:after="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base no protótipo OTAG foi desenvolvido o software GeoRastro que visa melhorar o uso de geoinformação, métodos e mecanismos inovadores e economicamente viáveis, capazes de registrar os dados de origem e produção animal (gado de corte), com eficiência e acurácia (EMBRAPA, 2014).</w:t>
      </w:r>
    </w:p>
    <w:p>
      <w:pPr>
        <w:pStyle w:val="ListParagraph"/>
        <w:numPr>
          <w:ilvl w:val="0"/>
          <w:numId w:val="3"/>
        </w:numPr>
        <w:spacing w:lineRule="auto" w:line="480"/>
        <w:ind w:left="1080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CONCLUSÕES E PERSPECTIVAS FUTURAS</w:t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REFERÊNCIAS</w:t>
      </w:r>
    </w:p>
    <w:p>
      <w:pPr>
        <w:pStyle w:val="ListParagraph"/>
        <w:spacing w:lineRule="auto" w:line="480"/>
        <w:ind w:left="29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GEOWINE, 2008. Projeto GeoWine. Disponível em: &lt; http://www.geowine.net/ &gt; Acesso em 11 de Novembro de 2016. EMBRAPA, 2014.  Empresa Brasileira de Pesquisa e Agropecuária. Disponível em: &lt;https://www.cnpm.embrapa.br/projetos/geor astro/&gt; Acesso em: 22 de Agosto de 2016.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OTAG REPORT, 2008. Traceability in beef production and crisis management in bovine sector: state of art. OTAG Project Report. 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TELEPARC, 2004.  Projeto GeoTraceAgri - GTA. Disponível em &lt;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http://www.teleparc  .net/index.php?option=com_projets&amp;task= view_projet_tab&amp;id= 13&amp; toc=1&amp;toc_type= 3&amp;toc_val=4 &gt; Acesso em: 11 de Novembro de 2016. 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TELEPARC, 2005. Projeto Sistema Integrado Georrastreabilidade para a Política Agrícola Comum. Disponível em: &lt;http://www.teleparc.net/index.php?option=com_projets&amp;task= view_projet_tab&amp;toc= 1&amp;toc_type=3&amp;toc_val=4&amp;id=14&gt;  Acesso em: 14 de Novembro de 2016.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TELEPARC, 2016. Projeto Agri Teleparc. Disponível em &lt; http://www.teleparc.net/index.php?option=com_projets&amp;task=view_projet_tab&amp;id=14 &amp;toc= 1&amp;toc_type=3&amp;toc_val=4&gt;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Acesso em: 14 de Novembro de 2016.</w:t>
      </w:r>
    </w:p>
    <w:p>
      <w:pPr>
        <w:pStyle w:val="ListParagraph"/>
        <w:spacing w:lineRule="auto" w:line="360"/>
        <w:ind w:left="29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TÔSTO, S. G.; RODRIGUES, C. A. G.; BOLFE, E. L.; BATTISTELLA, M. Geotecnologias e Geoinformação: O produtor pergunta, a Embrapa responde. Brasília, DF. Empresa Brasileira de Pesquisa e Agropecuária, 2014, 256 p.</w:t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EMBRAPA,2010.Projeto internacional de georrastreabilidade participa de Expoagro na Argentina. Disponível em:&lt;https://www.embrapa.br/busca-de-noticias/-/noticia/18117989/ projeto-internacional-de-georrastreabilidade-participa-de-expoagro-na-argentina-&gt; Acesso em:08 de Dezembro de 2016.</w:t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CÂMARA, G.; MONTEIRO, A.M.V. Conceitos básicos em ciência da geoinformação. CÂMARA, G. et. al., Análise espacial de dados geográficos, v. 2, 2004.</w:t>
      </w:r>
    </w:p>
    <w:p>
      <w:pPr>
        <w:pStyle w:val="ListParagraph"/>
        <w:spacing w:lineRule="auto" w:line="360"/>
        <w:ind w:left="29" w:right="0" w:hanging="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ListParagraph"/>
        <w:spacing w:lineRule="auto" w:line="360" w:before="0" w:after="200"/>
        <w:ind w:left="29" w:right="0" w:hanging="0"/>
        <w:contextualSpacing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HUBNER, C. E.; OLIVEIRA, F. H. Gestão da Geoinformação em Implementações Multiusuários. In: Congresso Brasileiro de Cadastro Técnico Multifinalitário. UFSC, Florianópolis, 10p. 2008.</w:t>
      </w:r>
    </w:p>
    <w:sectPr>
      <w:headerReference w:type="default" r:id="rId2"/>
      <w:type w:val="nextPage"/>
      <w:pgSz w:w="11906" w:h="16838"/>
      <w:pgMar w:left="1701" w:right="1698" w:header="1417" w:top="1950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ilvia Mantuani" w:date="2016-12-13T20:31:00Z" w:initials="SM">
    <w:p>
      <w:r>
        <w:rPr/>
      </w:r>
    </w:p>
  </w:comment>
  <w:comment w:id="1" w:author="Unknown Author" w:date="2016-12-13T09:58:00Z" w:initials="">
    <w:p>
      <w:r>
        <w:rPr/>
      </w:r>
    </w:p>
  </w:comment>
  <w:comment w:id="2" w:author="Unknown Author" w:date="2016-12-13T20:18:00Z" w:initials=""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numPr>
        <w:ilvl w:val="0"/>
        <w:numId w:val="2"/>
      </w:numPr>
      <w:spacing w:before="0" w:after="200"/>
      <w:jc w:val="right"/>
      <w:rPr/>
    </w:pPr>
    <w:r>
      <w:rPr/>
      <w:softHyphen/>
    </w: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pPr>
      <w:outlineLvl w:val="0"/>
    </w:pPr>
    <w:rPr/>
  </w:style>
  <w:style w:type="paragraph" w:styleId="Heading2">
    <w:name w:val="Heading 2"/>
    <w:basedOn w:val="Heading"/>
    <w:pPr>
      <w:outlineLvl w:val="1"/>
    </w:pPr>
    <w:rPr/>
  </w:style>
  <w:style w:type="paragraph" w:styleId="Heading3">
    <w:name w:val="Heading 3"/>
    <w:basedOn w:val="Heading"/>
    <w:pPr>
      <w:outlineLvl w:val="2"/>
    </w:pPr>
    <w:rPr/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TextodecomentrioChar">
    <w:name w:val="Texto de comentário Char"/>
    <w:basedOn w:val="DefaultParagraphFont"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TextodebaloChar">
    <w:name w:val="Texto de balão Char"/>
    <w:basedOn w:val="DefaultParagraphFont"/>
    <w:rPr>
      <w:rFonts w:ascii="Tahoma" w:hAnsi="Tahoma" w:cs="Tahoma"/>
      <w:color w:val="00000A"/>
      <w:sz w:val="16"/>
      <w:szCs w:val="16"/>
    </w:rPr>
  </w:style>
  <w:style w:type="character" w:styleId="AssuntodocomentrioChar">
    <w:name w:val="Assunto do comentário Char"/>
    <w:basedOn w:val="TextodecomentrioChar"/>
    <w:rPr>
      <w:b/>
      <w:bCs/>
      <w:color w:val="00000A"/>
      <w:sz w:val="20"/>
      <w:szCs w:val="20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Wingdings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Courier New"/>
    </w:rPr>
  </w:style>
  <w:style w:type="character" w:styleId="ListLabel31">
    <w:name w:val="ListLabel 31"/>
    <w:rPr>
      <w:rFonts w:cs="Wingdings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Courier New"/>
    </w:rPr>
  </w:style>
  <w:style w:type="character" w:styleId="ListLabel34">
    <w:name w:val="ListLabel 34"/>
    <w:rPr>
      <w:rFonts w:cs="Wingdings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Courier New"/>
    </w:rPr>
  </w:style>
  <w:style w:type="character" w:styleId="ListLabel37">
    <w:name w:val="ListLabel 3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Header">
    <w:name w:val="Header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2016-10-18T17:52:00Z</dcterms:created>
  <dc:creator>Silvia Mantuani</dc:creator>
  <dc:language>en-US</dc:language>
  <dcterms:modified xsi:type="dcterms:W3CDTF">2016-12-26T15:06:59Z</dcterms:modified>
  <cp:revision>110</cp:revision>
</cp:coreProperties>
</file>