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29407610" w:rsidR="006B3F1F" w:rsidRDefault="005F6DB9" w:rsidP="00A631A3">
      <w:pPr>
        <w:pStyle w:val="Ttulo"/>
        <w:spacing w:before="0" w:beforeAutospacing="0" w:after="180"/>
      </w:pPr>
      <w:r>
        <w:t>Inclusão Digital na Agricultura Familiar</w:t>
      </w: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031CC" w14:paraId="2A071708" w14:textId="77777777" w:rsidTr="00197B90">
        <w:trPr>
          <w:tblHeader/>
          <w:jc w:val="center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8043A10" w14:textId="686BF9F1" w:rsidR="007031CC" w:rsidRPr="005F6DB9" w:rsidRDefault="005F6DB9" w:rsidP="005A2C27">
            <w:pPr>
              <w:pStyle w:val="AuthorName"/>
              <w:rPr>
                <w:lang w:val="pt-BR"/>
              </w:rPr>
            </w:pPr>
            <w:r w:rsidRPr="005F6DB9">
              <w:rPr>
                <w:lang w:val="pt-BR"/>
              </w:rPr>
              <w:t>Denise do Rocio Maciel</w:t>
            </w:r>
          </w:p>
          <w:p w14:paraId="15344A76" w14:textId="15E77F16" w:rsidR="007031CC" w:rsidRPr="005F6DB9" w:rsidRDefault="005F6DB9" w:rsidP="005A2C27">
            <w:pPr>
              <w:pStyle w:val="AuthorAffiliation"/>
              <w:rPr>
                <w:lang w:val="pt-BR"/>
              </w:rPr>
            </w:pPr>
            <w:r w:rsidRPr="005F6DB9">
              <w:rPr>
                <w:lang w:val="pt-BR"/>
              </w:rPr>
              <w:t>UEPG</w:t>
            </w:r>
          </w:p>
          <w:p w14:paraId="121951C2" w14:textId="76FF6603" w:rsidR="007031CC" w:rsidRPr="005F6DB9" w:rsidRDefault="005F6DB9" w:rsidP="005A2C27">
            <w:pPr>
              <w:pStyle w:val="AuthorAffiliation"/>
              <w:rPr>
                <w:lang w:val="pt-BR"/>
              </w:rPr>
            </w:pPr>
            <w:r w:rsidRPr="005F6DB9">
              <w:rPr>
                <w:lang w:val="pt-BR"/>
              </w:rPr>
              <w:t>Ponta Grossa</w:t>
            </w:r>
            <w:r w:rsidR="0010082E" w:rsidRPr="005F6DB9">
              <w:rPr>
                <w:lang w:val="pt-BR"/>
              </w:rPr>
              <w:t xml:space="preserve">, </w:t>
            </w:r>
            <w:r>
              <w:rPr>
                <w:lang w:val="pt-BR"/>
              </w:rPr>
              <w:t>Brasil</w:t>
            </w:r>
          </w:p>
          <w:p w14:paraId="70623E7D" w14:textId="2BCAB0F0" w:rsidR="007031CC" w:rsidRPr="005F6DB9" w:rsidRDefault="005F6DB9" w:rsidP="005F6DB9">
            <w:pPr>
              <w:pStyle w:val="AuthorAffiliation"/>
              <w:rPr>
                <w:lang w:val="pt-BR"/>
              </w:rPr>
            </w:pPr>
            <w:r w:rsidRPr="005F6DB9">
              <w:rPr>
                <w:lang w:val="pt-BR"/>
              </w:rPr>
              <w:t>dnise_maciel@hotmail.com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4043866" w14:textId="1C24752F" w:rsidR="007031CC" w:rsidRPr="005F6DB9" w:rsidRDefault="005F6DB9" w:rsidP="005A2C27">
            <w:pPr>
              <w:pStyle w:val="AuthorName"/>
              <w:rPr>
                <w:lang w:val="pt-BR"/>
              </w:rPr>
            </w:pPr>
            <w:r w:rsidRPr="005F6DB9">
              <w:rPr>
                <w:lang w:val="pt-BR"/>
              </w:rPr>
              <w:t>Simone Nasser Mattos</w:t>
            </w:r>
          </w:p>
          <w:p w14:paraId="30F4659E" w14:textId="1382993D" w:rsidR="007031CC" w:rsidRPr="005F6DB9" w:rsidRDefault="005F6DB9" w:rsidP="005A2C27">
            <w:pPr>
              <w:pStyle w:val="AuthorAffiliation"/>
              <w:rPr>
                <w:lang w:val="pt-BR"/>
              </w:rPr>
            </w:pPr>
            <w:r w:rsidRPr="005F6DB9">
              <w:rPr>
                <w:lang w:val="pt-BR"/>
              </w:rPr>
              <w:t>UTFPR</w:t>
            </w:r>
          </w:p>
          <w:p w14:paraId="2AEB1998" w14:textId="129F68EE" w:rsidR="007031CC" w:rsidRPr="005F6DB9" w:rsidRDefault="005F6DB9" w:rsidP="005A2C27">
            <w:pPr>
              <w:pStyle w:val="AuthorAffiliation"/>
              <w:rPr>
                <w:lang w:val="pt-BR"/>
              </w:rPr>
            </w:pPr>
            <w:r w:rsidRPr="005F6DB9">
              <w:rPr>
                <w:lang w:val="pt-BR"/>
              </w:rPr>
              <w:t>Ponta Grossa</w:t>
            </w:r>
            <w:r w:rsidR="005D4A32" w:rsidRPr="005F6DB9">
              <w:rPr>
                <w:lang w:val="pt-BR"/>
              </w:rPr>
              <w:t xml:space="preserve">, </w:t>
            </w:r>
            <w:r w:rsidRPr="005F6DB9">
              <w:rPr>
                <w:lang w:val="pt-BR"/>
              </w:rPr>
              <w:t>Brasil</w:t>
            </w:r>
          </w:p>
          <w:p w14:paraId="1841A2BB" w14:textId="32A98C2F" w:rsidR="007031CC" w:rsidRPr="00D62A4A" w:rsidRDefault="005F6DB9" w:rsidP="005A2C27">
            <w:pPr>
              <w:pStyle w:val="AuthorAffiliation"/>
            </w:pPr>
            <w:r>
              <w:t>snasser@utfpr.edu.br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180ECBE" w14:textId="19EC9974" w:rsidR="007031CC" w:rsidRPr="00F100EF" w:rsidRDefault="007031CC" w:rsidP="005A2C27">
            <w:pPr>
              <w:pStyle w:val="AuthorAffiliation"/>
            </w:pPr>
          </w:p>
        </w:tc>
      </w:tr>
    </w:tbl>
    <w:p w14:paraId="67367779" w14:textId="77777777" w:rsidR="006B3F1F" w:rsidRPr="005F6DB9" w:rsidRDefault="006B3F1F" w:rsidP="00F100EF">
      <w:pPr>
        <w:pStyle w:val="Author"/>
        <w:jc w:val="both"/>
        <w:rPr>
          <w:b w:val="0"/>
          <w:sz w:val="20"/>
        </w:rPr>
        <w:sectPr w:rsidR="006B3F1F" w:rsidRPr="005F6DB9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5BAC655F" w14:textId="3088983A" w:rsidR="005F6DB9" w:rsidRPr="005F6DB9" w:rsidRDefault="005F6DB9" w:rsidP="005F6DB9">
      <w:pPr>
        <w:rPr>
          <w:shd w:val="clear" w:color="auto" w:fill="FFFFFF"/>
          <w:lang w:val="pt-BR"/>
        </w:rPr>
      </w:pPr>
      <w:r w:rsidRPr="005F6DB9">
        <w:rPr>
          <w:shd w:val="clear" w:color="auto" w:fill="FFFFFF"/>
          <w:lang w:val="pt-BR"/>
        </w:rPr>
        <w:lastRenderedPageBreak/>
        <w:t xml:space="preserve">Através de resultados de revisão sistemática da literatura realizada com base nos últimos cinco anos sobre o tema de usabilidade e acessibilidade em softwares agrícolas notou-se que é constante a associação dos estudos com as comunidades de baixo letramento. A exclusão educacional, característica dos agricultores familiares brasileiros, representa empecilho para a implementação de sua inclusão digital </w:t>
      </w:r>
      <w:r w:rsidRPr="005F6DB9">
        <w:rPr>
          <w:lang w:val="pt-BR" w:eastAsia="pt-BR"/>
        </w:rPr>
        <w:t>(CARVALHO, 2014)</w:t>
      </w:r>
      <w:r w:rsidRPr="005F6DB9">
        <w:rPr>
          <w:shd w:val="clear" w:color="auto" w:fill="FFFFFF"/>
          <w:lang w:val="pt-BR"/>
        </w:rPr>
        <w:t xml:space="preserve">. Notou-se que problemas de usabilidade e acessibilidade nos softwares podem dificultar a adesão da tecnologia por parte dos produtores. </w:t>
      </w:r>
      <w:r w:rsidRPr="005F6DB9">
        <w:rPr>
          <w:lang w:val="pt-BR"/>
        </w:rPr>
        <w:t xml:space="preserve">Ceaparu </w:t>
      </w:r>
      <w:r w:rsidRPr="005F6DB9">
        <w:rPr>
          <w:i/>
          <w:lang w:val="pt-BR"/>
        </w:rPr>
        <w:t xml:space="preserve">et al. </w:t>
      </w:r>
      <w:r w:rsidRPr="005F6DB9">
        <w:rPr>
          <w:lang w:val="pt-BR"/>
        </w:rPr>
        <w:t>(2004) afirma que</w:t>
      </w:r>
      <w:r w:rsidRPr="005F6DB9">
        <w:rPr>
          <w:shd w:val="clear" w:color="auto" w:fill="FFFFFF"/>
          <w:lang w:val="pt-BR"/>
        </w:rPr>
        <w:t xml:space="preserve"> a baixa aplicação  desses atributos pode acarretar em desmotivação de uso.</w:t>
      </w:r>
    </w:p>
    <w:p w14:paraId="7FB9C746" w14:textId="0F4116B6" w:rsidR="005F6DB9" w:rsidRPr="005F6DB9" w:rsidRDefault="005F6DB9" w:rsidP="005F6DB9">
      <w:pPr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FF0000"/>
          <w:sz w:val="24"/>
          <w:szCs w:val="24"/>
          <w:shd w:val="clear" w:color="auto" w:fill="FFFFFF"/>
          <w:lang w:val="pt-BR"/>
        </w:rPr>
        <w:t>PORQUE O ACESSO PARTICIPATIVO E UNIVERSAL A INFORMAÇÃO DO CIDADÃO BRASILEIRO É IMPORTANTE?</w:t>
      </w:r>
    </w:p>
    <w:p w14:paraId="151EB980" w14:textId="77777777" w:rsidR="005F6DB9" w:rsidRPr="005F6DB9" w:rsidRDefault="005F6DB9" w:rsidP="005F6DB9">
      <w:pPr>
        <w:rPr>
          <w:color w:val="000000" w:themeColor="text1"/>
          <w:sz w:val="24"/>
          <w:szCs w:val="24"/>
          <w:lang w:val="pt-BR" w:eastAsia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A inclusão digital tem capacidade de gerar melhoria dos produtos e da renda dos agricultores familiares </w:t>
      </w:r>
      <w:r w:rsidRPr="005F6DB9">
        <w:rPr>
          <w:color w:val="000000" w:themeColor="text1"/>
          <w:sz w:val="24"/>
          <w:szCs w:val="24"/>
          <w:lang w:val="pt-BR" w:eastAsia="pt-BR"/>
        </w:rPr>
        <w:t xml:space="preserve">(CARVALHO, 2014). No cenário brasileiro ganha ainda mais importância porque esse setor é responsável por fornecer 70% dos alimentos consumidos no mercado interno (PORTAL BRASIL, 2015) e prover 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segurança alimentar ao país </w:t>
      </w:r>
      <w:r w:rsidRPr="005F6DB9">
        <w:rPr>
          <w:color w:val="000000" w:themeColor="text1"/>
          <w:sz w:val="24"/>
          <w:szCs w:val="24"/>
          <w:lang w:val="pt-BR" w:eastAsia="pt-BR"/>
        </w:rPr>
        <w:t xml:space="preserve">(CENSO,2006). </w:t>
      </w:r>
    </w:p>
    <w:p w14:paraId="56BF1AB9" w14:textId="677C8F0B" w:rsidR="005F6DB9" w:rsidRPr="005F6DB9" w:rsidRDefault="005F6DB9" w:rsidP="005F6DB9">
      <w:pPr>
        <w:rPr>
          <w:color w:val="FF0000"/>
          <w:sz w:val="24"/>
          <w:szCs w:val="24"/>
          <w:shd w:val="clear" w:color="auto" w:fill="FFFFFF"/>
          <w:lang w:val="pt-BR"/>
        </w:rPr>
      </w:pPr>
      <w:r w:rsidRPr="005F6DB9">
        <w:rPr>
          <w:color w:val="FF0000"/>
          <w:sz w:val="24"/>
          <w:szCs w:val="24"/>
          <w:shd w:val="clear" w:color="auto" w:fill="FFFFFF"/>
          <w:lang w:val="pt-BR"/>
        </w:rPr>
        <w:t>O QUE NOSSA COMUNIDADE TEM FEITO PARA ENFRENTAR ESSES DESAFIOS?</w:t>
      </w:r>
    </w:p>
    <w:p w14:paraId="7C710006" w14:textId="77777777" w:rsidR="005F6DB9" w:rsidRPr="005F6DB9" w:rsidRDefault="005F6DB9" w:rsidP="005F6DB9">
      <w:pPr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Para prover inclusão digital </w:t>
      </w:r>
      <w:r w:rsidRPr="005F6DB9">
        <w:rPr>
          <w:color w:val="000000" w:themeColor="text1"/>
          <w:sz w:val="24"/>
          <w:szCs w:val="24"/>
          <w:lang w:val="pt-BR" w:eastAsia="pt-BR"/>
        </w:rPr>
        <w:t xml:space="preserve">encontram-se em atuação iniciativas como o 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Programa Nacional de Ensino Técnico e Emprego no Campo (PRONACAMPO) e o Serviço Nacional de Aprendizagem Rural (SENAR). Em âmbito mundial, notou-se que o desenvolvimento de software vem se utilizando de alternativas não textuais para driblar a baixa alfabetização da população rural, esses softwares costumam ser utilizados para a disseminação de informações. Além disso nota-se a constante aplicação de testes de usabilidade e acessibilidade baseados nas Heurísticas de Nielsen </w:t>
      </w:r>
      <w:r w:rsidRPr="005F6DB9">
        <w:rPr>
          <w:sz w:val="24"/>
          <w:szCs w:val="24"/>
          <w:lang w:val="pt-BR"/>
        </w:rPr>
        <w:t>(NIELSEN,1995) e da W3C (W3C, 2017)</w:t>
      </w:r>
    </w:p>
    <w:p w14:paraId="161AD7B3" w14:textId="2E1A0E62" w:rsidR="005F6DB9" w:rsidRPr="005F6DB9" w:rsidRDefault="005F6DB9" w:rsidP="005F6DB9">
      <w:pPr>
        <w:spacing w:after="160" w:line="259" w:lineRule="auto"/>
        <w:jc w:val="left"/>
        <w:rPr>
          <w:color w:val="FF0000"/>
          <w:sz w:val="24"/>
          <w:szCs w:val="24"/>
          <w:shd w:val="clear" w:color="auto" w:fill="FFFFFF"/>
          <w:lang w:val="pt-BR"/>
        </w:rPr>
      </w:pPr>
      <w:r w:rsidRPr="005F6DB9">
        <w:rPr>
          <w:color w:val="FF0000"/>
          <w:sz w:val="24"/>
          <w:szCs w:val="24"/>
          <w:shd w:val="clear" w:color="auto" w:fill="FFFFFF"/>
          <w:lang w:val="pt-BR"/>
        </w:rPr>
        <w:t>QUAIS OBSTÁCULOS PERMANECEM?</w:t>
      </w:r>
    </w:p>
    <w:p w14:paraId="1ED1A8B3" w14:textId="77777777" w:rsidR="005F6DB9" w:rsidRPr="005F6DB9" w:rsidRDefault="005F6DB9" w:rsidP="005F6DB9">
      <w:pPr>
        <w:spacing w:after="0"/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lastRenderedPageBreak/>
        <w:t>Grande parte dos indivíduos da agricultura familiar não são alfabetizados ou são considerados como analfabetos funcionais. A proporção de analfabetos na área rural é de 44% e de 24% nas áreas urbanas (MONTENEGRO, 2011).  No combate a exclusão educacional pode-se citar obstáculos como a lotação de professores menos qualificados em comunidades que atendem os menos favorecidos e a distância física entre as escolas e os estudantes (</w:t>
      </w:r>
      <w:r w:rsidRPr="005F6DB9">
        <w:rPr>
          <w:color w:val="000000" w:themeColor="text1"/>
          <w:sz w:val="24"/>
          <w:szCs w:val="24"/>
          <w:lang w:val="pt-BR"/>
        </w:rPr>
        <w:t>BARRETO, CODES E DUARTE, 2012).</w:t>
      </w:r>
    </w:p>
    <w:p w14:paraId="6C41971E" w14:textId="77777777" w:rsidR="005F6DB9" w:rsidRPr="005F6DB9" w:rsidRDefault="005F6DB9" w:rsidP="005F6DB9">
      <w:pPr>
        <w:spacing w:before="240"/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Em relação a inclusão digital dos agricultores permanecem dificuldades atreladas a questões culturais (CARVALHO, 2014), custo e disponibilidade da internet </w:t>
      </w:r>
      <w:r w:rsidRPr="005F6DB9">
        <w:rPr>
          <w:bCs/>
          <w:sz w:val="24"/>
          <w:szCs w:val="24"/>
          <w:lang w:val="pt-BR"/>
        </w:rPr>
        <w:t xml:space="preserve">(MEDHI THIES </w:t>
      </w:r>
      <w:r w:rsidRPr="005F6DB9">
        <w:rPr>
          <w:bCs/>
          <w:i/>
          <w:iCs/>
          <w:sz w:val="24"/>
          <w:szCs w:val="24"/>
          <w:lang w:val="pt-BR"/>
        </w:rPr>
        <w:t xml:space="preserve">et al. </w:t>
      </w:r>
      <w:r w:rsidRPr="005F6DB9">
        <w:rPr>
          <w:bCs/>
          <w:sz w:val="24"/>
          <w:szCs w:val="24"/>
          <w:lang w:val="pt-BR"/>
        </w:rPr>
        <w:t>- 2015)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>, necessidade de prover melhorias na usabilidade e acessibilidade dos softwares com ênfase nas informações geográficas</w:t>
      </w:r>
      <w:r w:rsidRPr="005F6DB9">
        <w:rPr>
          <w:bCs/>
          <w:color w:val="000000"/>
          <w:sz w:val="24"/>
          <w:szCs w:val="24"/>
          <w:lang w:val="pt-BR"/>
        </w:rPr>
        <w:t xml:space="preserve"> (BROWN; SHARPLES; HARDING, 2013)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e necessidade de minimizar as dificuldade de utilização de dispositivos de entrada </w:t>
      </w:r>
      <w:r w:rsidRPr="005F6DB9">
        <w:rPr>
          <w:bCs/>
          <w:color w:val="000000"/>
          <w:sz w:val="24"/>
          <w:szCs w:val="24"/>
          <w:lang w:val="pt-BR"/>
        </w:rPr>
        <w:t>(GUPTA, 2012)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>.</w:t>
      </w:r>
    </w:p>
    <w:p w14:paraId="2B4F4DAA" w14:textId="063E4FD0" w:rsidR="005F6DB9" w:rsidRPr="005F6DB9" w:rsidRDefault="005F6DB9" w:rsidP="005F6DB9">
      <w:pPr>
        <w:rPr>
          <w:color w:val="FF0000"/>
          <w:sz w:val="24"/>
          <w:szCs w:val="24"/>
          <w:shd w:val="clear" w:color="auto" w:fill="FFFFFF"/>
          <w:lang w:val="pt-BR"/>
        </w:rPr>
      </w:pPr>
      <w:r w:rsidRPr="005F6DB9">
        <w:rPr>
          <w:color w:val="FF0000"/>
          <w:sz w:val="24"/>
          <w:szCs w:val="24"/>
          <w:shd w:val="clear" w:color="auto" w:fill="FFFFFF"/>
          <w:lang w:val="pt-BR"/>
        </w:rPr>
        <w:t xml:space="preserve">QUAIS RESULTADOS JÁ TIVERAM IMPACTO? </w:t>
      </w:r>
    </w:p>
    <w:p w14:paraId="1C633EAA" w14:textId="77777777" w:rsidR="005F6DB9" w:rsidRPr="005F6DB9" w:rsidRDefault="005F6DB9" w:rsidP="005F6DB9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A fim de melhorar a inclusão digital são necessários investimentos em educação que integre tecnologia digital de fácil uso e acesso com as necessidades de informação relevantes para esse público. A partir de estudo realizado por Carvalho (2014) com 21 agricultores familiares de Rondônia notou-se que esse público reconhece a importância de atividades como gestão, porém 83% afirmaram realizar essa atividade manualmente com o uso de cadernos de campo e 17% afirmaram que, apesar de ter dificuldades com a interação do programa e uso de fórmulas matemáticas, adotam planilhas do Excel. Baseando-se nas dificuldades apontadas pelos usuários, o incentivo ao uso de softwares de 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lastRenderedPageBreak/>
        <w:t xml:space="preserve">gestão agrícola de fácil utilização pode ser importante tanto para a inclusão digital quanto para a inclusão educacional dessa comunidade. </w:t>
      </w:r>
    </w:p>
    <w:p w14:paraId="689F8ED5" w14:textId="77777777" w:rsidR="006B3F1F" w:rsidRDefault="006B3F1F">
      <w:pPr>
        <w:pStyle w:val="Ttulo1"/>
      </w:pPr>
      <w:bookmarkStart w:id="0" w:name="_GoBack"/>
      <w:bookmarkEnd w:id="0"/>
      <w:r>
        <w:t>REFERENCES</w:t>
      </w:r>
    </w:p>
    <w:p w14:paraId="6C51D3E1" w14:textId="4C2FCA85" w:rsidR="00FB5FFE" w:rsidRPr="00AC7BE6" w:rsidRDefault="00FB5FFE" w:rsidP="00FB5FFE">
      <w:pPr>
        <w:pStyle w:val="References"/>
        <w:rPr>
          <w:rFonts w:ascii="Helvetica" w:hAnsi="Helvetica"/>
          <w:b/>
          <w:sz w:val="24"/>
        </w:rPr>
      </w:pPr>
      <w:bookmarkStart w:id="1" w:name="_Ref279752164"/>
      <w:bookmarkStart w:id="2" w:name="_Ref279752146"/>
      <w:bookmarkStart w:id="3" w:name="_Ref279753835"/>
      <w:r w:rsidRPr="003F70AB">
        <w:t xml:space="preserve">@_CHINOSAUR. 2014. VENUE IS TOO COLD. #BINGO #CHI2016. </w:t>
      </w:r>
      <w:r w:rsidR="00EE16AA">
        <w:t>Tweet. (</w:t>
      </w:r>
      <w:r w:rsidRPr="003F70AB">
        <w:t>1 May, 2014</w:t>
      </w:r>
      <w:r w:rsidR="00EE16AA">
        <w:t>). Retrieved February 2, 2014 from</w:t>
      </w:r>
      <w:r w:rsidRPr="003F70AB">
        <w:t xml:space="preserve"> https://twitter.com/_CHINOSAUR/status/461864317415989248</w:t>
      </w:r>
      <w:bookmarkEnd w:id="1"/>
    </w:p>
    <w:p w14:paraId="034E7E09" w14:textId="40605985" w:rsidR="007F645F" w:rsidRPr="003F70AB" w:rsidRDefault="007F645F" w:rsidP="007F645F">
      <w:pPr>
        <w:pStyle w:val="References"/>
      </w:pPr>
      <w:r w:rsidRPr="003F70AB">
        <w:t>ACM. How to Classify Works Using ACM’s Computing Classification System. 2014.</w:t>
      </w:r>
      <w:r w:rsidR="005C0FDD" w:rsidRPr="003F70AB">
        <w:t xml:space="preserve"> </w:t>
      </w:r>
      <w:r w:rsidRPr="003F70AB">
        <w:t xml:space="preserve">Retrieved August 22, 2014 from </w:t>
      </w:r>
      <w:hyperlink r:id="rId8" w:history="1">
        <w:r w:rsidRPr="003F70AB">
          <w:rPr>
            <w:rStyle w:val="Hyperlink"/>
            <w:color w:val="auto"/>
          </w:rPr>
          <w:t>http://www.acm.org/class/how_to_use.html</w:t>
        </w:r>
        <w:bookmarkEnd w:id="2"/>
        <w:bookmarkEnd w:id="3"/>
      </w:hyperlink>
      <w:r w:rsidRPr="003F70AB">
        <w:t xml:space="preserve"> </w:t>
      </w:r>
    </w:p>
    <w:p w14:paraId="7545D9EF" w14:textId="77777777" w:rsidR="007F645F" w:rsidRPr="003F70AB" w:rsidRDefault="007F645F" w:rsidP="007F645F">
      <w:pPr>
        <w:pStyle w:val="References"/>
      </w:pPr>
      <w:bookmarkStart w:id="4" w:name="_Ref279752133"/>
      <w:bookmarkStart w:id="5" w:name="_Ref279752517"/>
      <w:r w:rsidRPr="003F70AB">
        <w:t xml:space="preserve">Ronald E. Anderson. 1992. Social impacts of computing: Codes of professional ethics. </w:t>
      </w:r>
      <w:r w:rsidRPr="003F70AB">
        <w:rPr>
          <w:i/>
        </w:rPr>
        <w:t>Soc Sci Comput Rev</w:t>
      </w:r>
      <w:r w:rsidRPr="003F70AB">
        <w:t xml:space="preserve"> 10, 2: 453-469.</w:t>
      </w:r>
      <w:bookmarkEnd w:id="4"/>
      <w:r w:rsidRPr="003F70AB">
        <w:t xml:space="preserve"> </w:t>
      </w:r>
    </w:p>
    <w:p w14:paraId="13C6AEA6" w14:textId="65B8EB52" w:rsidR="007F645F" w:rsidRPr="003F70AB" w:rsidRDefault="007F645F" w:rsidP="007F645F">
      <w:pPr>
        <w:pStyle w:val="References"/>
      </w:pPr>
      <w:bookmarkStart w:id="6" w:name="_Ref279753826"/>
      <w:r w:rsidRPr="003F70AB">
        <w:t xml:space="preserve">Anna Cavender, Shari Trewin, Vicki Hanson. 2014. Accessible Writing Guide. Retrieved August 22, 2014 from </w:t>
      </w:r>
      <w:hyperlink r:id="rId9" w:history="1">
        <w:r w:rsidRPr="003F70AB">
          <w:rPr>
            <w:rStyle w:val="Hyperlink"/>
            <w:color w:val="auto"/>
          </w:rPr>
          <w:t>http://www.sigaccess.org/welcome-to-sigaccess/resources/accessible-writing-guide/</w:t>
        </w:r>
        <w:bookmarkEnd w:id="5"/>
        <w:bookmarkEnd w:id="6"/>
      </w:hyperlink>
      <w:r w:rsidRPr="003F70AB">
        <w:t xml:space="preserve"> </w:t>
      </w:r>
    </w:p>
    <w:p w14:paraId="4826D46C" w14:textId="4736A9B6" w:rsidR="007F645F" w:rsidRPr="003F70AB" w:rsidRDefault="007F645F" w:rsidP="007F645F">
      <w:pPr>
        <w:pStyle w:val="References"/>
      </w:pPr>
      <w:bookmarkStart w:id="7" w:name="_Ref279752259"/>
      <w:bookmarkStart w:id="8" w:name="_Ref279753241"/>
      <w:bookmarkStart w:id="9" w:name="_Ref279752204"/>
      <w:r w:rsidRPr="003F70AB">
        <w:t xml:space="preserve">Morton L. Heilig. 1962. Sensorama Simulator, U.S. Patent 3,050,870, Filed </w:t>
      </w:r>
      <w:r w:rsidR="00782280">
        <w:t>January 10, 1961</w:t>
      </w:r>
      <w:r w:rsidRPr="003F70AB">
        <w:t>, issued August 28, 1962.</w:t>
      </w:r>
      <w:bookmarkEnd w:id="7"/>
    </w:p>
    <w:p w14:paraId="24101C93" w14:textId="78064382" w:rsidR="004E6530" w:rsidRPr="003F70AB" w:rsidRDefault="004E6530" w:rsidP="004E6530">
      <w:pPr>
        <w:pStyle w:val="References"/>
      </w:pPr>
      <w:bookmarkStart w:id="10" w:name="_Ref406944896"/>
      <w:bookmarkStart w:id="11" w:name="_Ref279753887"/>
      <w:bookmarkEnd w:id="8"/>
      <w:r w:rsidRPr="003F70AB">
        <w:t xml:space="preserve">Jofish Kaye and Paul Dourish. 2014. Special issue on science fiction and ubiquitous computing. </w:t>
      </w:r>
      <w:r w:rsidRPr="003F70AB">
        <w:rPr>
          <w:i/>
        </w:rPr>
        <w:t>Personal Ubiquitous Comput</w:t>
      </w:r>
      <w:r w:rsidRPr="003F70AB">
        <w:t xml:space="preserve">. 18, 4 (April 2014), 765-766. </w:t>
      </w:r>
      <w:hyperlink r:id="rId10" w:history="1">
        <w:r w:rsidRPr="003F70AB">
          <w:rPr>
            <w:rStyle w:val="Hyperlink"/>
            <w:color w:val="auto"/>
          </w:rPr>
          <w:t>http://dx.doi.org/10.1007/s00779-014-0773-4</w:t>
        </w:r>
      </w:hyperlink>
      <w:bookmarkEnd w:id="10"/>
    </w:p>
    <w:p w14:paraId="2358CB8A" w14:textId="7CED79B5" w:rsidR="004E6530" w:rsidRPr="003F70AB" w:rsidRDefault="007F645F" w:rsidP="004E6530">
      <w:pPr>
        <w:pStyle w:val="References"/>
      </w:pPr>
      <w:bookmarkStart w:id="12" w:name="_Ref406944911"/>
      <w:r w:rsidRPr="003F70AB">
        <w:t xml:space="preserve">Scott R. Klemmer, Michael Thomsen, Ethan Phelps-Goodman, Robert Lee, and James A. Landay. 2002. Where do web sites come from?: capturing and interacting with design history. In </w:t>
      </w:r>
      <w:r w:rsidRPr="003F70AB">
        <w:rPr>
          <w:i/>
        </w:rPr>
        <w:t xml:space="preserve">Proceedings of the SIGCHI Conference on Human Factors in Computing Systems </w:t>
      </w:r>
      <w:r w:rsidRPr="003F70AB">
        <w:t>(CHI '02)</w:t>
      </w:r>
      <w:r w:rsidR="004E6530" w:rsidRPr="003F70AB">
        <w:t xml:space="preserve">, </w:t>
      </w:r>
      <w:r w:rsidRPr="003F70AB">
        <w:t>1-8.</w:t>
      </w:r>
      <w:bookmarkEnd w:id="9"/>
      <w:bookmarkEnd w:id="11"/>
      <w:r w:rsidR="004E6530" w:rsidRPr="003F70AB">
        <w:t xml:space="preserve"> </w:t>
      </w:r>
      <w:hyperlink r:id="rId11" w:history="1">
        <w:r w:rsidR="004E6530" w:rsidRPr="003F70AB">
          <w:rPr>
            <w:rStyle w:val="Hyperlink"/>
            <w:color w:val="auto"/>
          </w:rPr>
          <w:t>http://doi.acm.org/10.1145/503376.503378</w:t>
        </w:r>
      </w:hyperlink>
      <w:bookmarkEnd w:id="12"/>
    </w:p>
    <w:p w14:paraId="10BFE94D" w14:textId="36D4FE11" w:rsidR="007F645F" w:rsidRPr="003F70AB" w:rsidRDefault="007F645F" w:rsidP="007F645F">
      <w:pPr>
        <w:pStyle w:val="References"/>
      </w:pPr>
      <w:bookmarkStart w:id="13" w:name="_Ref279752219"/>
      <w:r w:rsidRPr="003F70AB">
        <w:t xml:space="preserve">Psy. 2012. Gangnam Style. Video. (15 July 2012.). Retrieved August 22, 2014 from </w:t>
      </w:r>
      <w:hyperlink r:id="rId12" w:history="1">
        <w:r w:rsidRPr="003F70AB">
          <w:rPr>
            <w:rStyle w:val="Hyperlink"/>
            <w:color w:val="auto"/>
          </w:rPr>
          <w:t>https://www.youtube.com/watch?v=9bZkp7q19f0</w:t>
        </w:r>
        <w:bookmarkEnd w:id="13"/>
      </w:hyperlink>
    </w:p>
    <w:p w14:paraId="2D65F961" w14:textId="0523C2CE" w:rsidR="007F645F" w:rsidRPr="003F70AB" w:rsidRDefault="007F645F" w:rsidP="007F645F">
      <w:pPr>
        <w:pStyle w:val="References"/>
      </w:pPr>
      <w:bookmarkStart w:id="14" w:name="_Ref279752240"/>
      <w:r w:rsidRPr="003F70AB">
        <w:t xml:space="preserve">Marilyn Schwartz. 1995. </w:t>
      </w:r>
      <w:r w:rsidRPr="003F70AB">
        <w:rPr>
          <w:i/>
        </w:rPr>
        <w:t>Guidelines for Bias-Free Writing.</w:t>
      </w:r>
      <w:r w:rsidRPr="003F70AB">
        <w:t xml:space="preserve"> Indiana University Press.</w:t>
      </w:r>
      <w:bookmarkEnd w:id="14"/>
    </w:p>
    <w:p w14:paraId="3C1CBFE0" w14:textId="59CD7395" w:rsidR="007F645F" w:rsidRPr="003F70AB" w:rsidRDefault="007F645F" w:rsidP="007F645F">
      <w:pPr>
        <w:pStyle w:val="References"/>
      </w:pPr>
      <w:bookmarkStart w:id="15" w:name="_Ref279752272"/>
      <w:r w:rsidRPr="003F70AB">
        <w:t xml:space="preserve">Ivan E. Sutherland. 1963. </w:t>
      </w:r>
      <w:r w:rsidRPr="003F70AB">
        <w:rPr>
          <w:i/>
        </w:rPr>
        <w:t>Sketchpad, a Man-Machine Graphical Communication System</w:t>
      </w:r>
      <w:r w:rsidRPr="003F70AB">
        <w:t>. Ph.D Dissertation. Massac</w:t>
      </w:r>
      <w:r w:rsidR="004E6530" w:rsidRPr="003F70AB">
        <w:t xml:space="preserve">husetts Institute of Technology, </w:t>
      </w:r>
      <w:r w:rsidRPr="003F70AB">
        <w:t>Cambridge, MA.</w:t>
      </w:r>
      <w:bookmarkEnd w:id="15"/>
    </w:p>
    <w:p w14:paraId="7DED7C97" w14:textId="5D629911" w:rsidR="00D32315" w:rsidRPr="003F70AB" w:rsidRDefault="007F645F" w:rsidP="007F645F">
      <w:pPr>
        <w:pStyle w:val="References"/>
      </w:pPr>
      <w:bookmarkStart w:id="16" w:name="_Ref279752304"/>
      <w:r w:rsidRPr="003F70AB">
        <w:t xml:space="preserve">Langdon Winner. 1999. Do artifacts have politics? In </w:t>
      </w:r>
      <w:r w:rsidRPr="003F70AB">
        <w:rPr>
          <w:i/>
        </w:rPr>
        <w:t>The Social Shaping of Technology</w:t>
      </w:r>
      <w:r w:rsidRPr="003F70AB">
        <w:t xml:space="preserve"> (2nd. ed.), Donald MacKenzie and Judy Wajcman (</w:t>
      </w:r>
      <w:r w:rsidR="00A71EF6" w:rsidRPr="003F70AB">
        <w:t>e</w:t>
      </w:r>
      <w:r w:rsidRPr="003F70AB">
        <w:t>ds.). Open University Press, Buckingham, UK, 28-40.</w:t>
      </w:r>
      <w:bookmarkEnd w:id="16"/>
    </w:p>
    <w:sectPr w:rsidR="00D32315" w:rsidRPr="003F70AB" w:rsidSect="006B1D5B">
      <w:headerReference w:type="even" r:id="rId13"/>
      <w:type w:val="continuous"/>
      <w:pgSz w:w="12240" w:h="15840" w:code="1"/>
      <w:pgMar w:top="1224" w:right="1080" w:bottom="1440" w:left="108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6D0EB" w14:textId="77777777" w:rsidR="000A3C1A" w:rsidRDefault="000A3C1A">
      <w:r>
        <w:separator/>
      </w:r>
    </w:p>
  </w:endnote>
  <w:endnote w:type="continuationSeparator" w:id="0">
    <w:p w14:paraId="53224D75" w14:textId="77777777" w:rsidR="000A3C1A" w:rsidRDefault="000A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8179A" w14:textId="77777777" w:rsidR="000A3C1A" w:rsidRDefault="000A3C1A" w:rsidP="00443E9F">
      <w:pPr>
        <w:spacing w:after="0"/>
      </w:pPr>
      <w:r>
        <w:separator/>
      </w:r>
    </w:p>
  </w:footnote>
  <w:footnote w:type="continuationSeparator" w:id="0">
    <w:p w14:paraId="638B0C76" w14:textId="77777777" w:rsidR="000A3C1A" w:rsidRDefault="000A3C1A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AF347A" w:rsidRDefault="00AF347A" w:rsidP="006B3F1F">
    <w:pPr>
      <w:pStyle w:val="Cabealho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4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7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8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9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3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5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6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8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9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1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2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3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4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1"/>
  </w:num>
  <w:num w:numId="23">
    <w:abstractNumId w:val="23"/>
  </w:num>
  <w:num w:numId="24">
    <w:abstractNumId w:val="11"/>
  </w:num>
  <w:num w:numId="25">
    <w:abstractNumId w:val="25"/>
  </w:num>
  <w:num w:numId="26">
    <w:abstractNumId w:val="22"/>
  </w:num>
  <w:num w:numId="27">
    <w:abstractNumId w:val="27"/>
  </w:num>
  <w:num w:numId="28">
    <w:abstractNumId w:val="28"/>
  </w:num>
  <w:num w:numId="29">
    <w:abstractNumId w:val="17"/>
  </w:num>
  <w:num w:numId="30">
    <w:abstractNumId w:val="30"/>
  </w:num>
  <w:num w:numId="31">
    <w:abstractNumId w:val="15"/>
  </w:num>
  <w:num w:numId="32">
    <w:abstractNumId w:val="34"/>
  </w:num>
  <w:num w:numId="33">
    <w:abstractNumId w:val="0"/>
  </w:num>
  <w:num w:numId="34">
    <w:abstractNumId w:val="29"/>
  </w:num>
  <w:num w:numId="35">
    <w:abstractNumId w:val="16"/>
  </w:num>
  <w:num w:numId="36">
    <w:abstractNumId w:val="24"/>
  </w:num>
  <w:num w:numId="37">
    <w:abstractNumId w:val="13"/>
  </w:num>
  <w:num w:numId="38">
    <w:abstractNumId w:val="18"/>
  </w:num>
  <w:num w:numId="39">
    <w:abstractNumId w:val="21"/>
  </w:num>
  <w:num w:numId="40">
    <w:abstractNumId w:val="19"/>
  </w:num>
  <w:num w:numId="41">
    <w:abstractNumId w:val="33"/>
  </w:num>
  <w:num w:numId="42">
    <w:abstractNumId w:val="14"/>
  </w:num>
  <w:num w:numId="43">
    <w:abstractNumId w:val="20"/>
  </w:num>
  <w:num w:numId="44">
    <w:abstractNumId w:val="26"/>
  </w:num>
  <w:num w:numId="45">
    <w:abstractNumId w:val="32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IPaperNum" w:val="400"/>
  </w:docVars>
  <w:rsids>
    <w:rsidRoot w:val="004F7602"/>
    <w:rsid w:val="00012912"/>
    <w:rsid w:val="0001659E"/>
    <w:rsid w:val="000333DE"/>
    <w:rsid w:val="0003450C"/>
    <w:rsid w:val="00040794"/>
    <w:rsid w:val="00055598"/>
    <w:rsid w:val="000728F3"/>
    <w:rsid w:val="00072B3A"/>
    <w:rsid w:val="00073DCD"/>
    <w:rsid w:val="000A3852"/>
    <w:rsid w:val="000A3C1A"/>
    <w:rsid w:val="000B6A11"/>
    <w:rsid w:val="000B72DA"/>
    <w:rsid w:val="000E4445"/>
    <w:rsid w:val="000E5328"/>
    <w:rsid w:val="000F19BD"/>
    <w:rsid w:val="000F4B8F"/>
    <w:rsid w:val="0010082E"/>
    <w:rsid w:val="0010210D"/>
    <w:rsid w:val="00103A63"/>
    <w:rsid w:val="001105CA"/>
    <w:rsid w:val="00114577"/>
    <w:rsid w:val="00121EE5"/>
    <w:rsid w:val="00123CFD"/>
    <w:rsid w:val="00137145"/>
    <w:rsid w:val="001465AB"/>
    <w:rsid w:val="00151FAA"/>
    <w:rsid w:val="00161911"/>
    <w:rsid w:val="0017799B"/>
    <w:rsid w:val="00186236"/>
    <w:rsid w:val="00191462"/>
    <w:rsid w:val="00197B90"/>
    <w:rsid w:val="001C2A81"/>
    <w:rsid w:val="001D29E1"/>
    <w:rsid w:val="001E5C50"/>
    <w:rsid w:val="001F042A"/>
    <w:rsid w:val="001F062E"/>
    <w:rsid w:val="001F40BF"/>
    <w:rsid w:val="001F4B3C"/>
    <w:rsid w:val="0020192F"/>
    <w:rsid w:val="002022E4"/>
    <w:rsid w:val="002028D3"/>
    <w:rsid w:val="00210191"/>
    <w:rsid w:val="00214551"/>
    <w:rsid w:val="00227741"/>
    <w:rsid w:val="0024113A"/>
    <w:rsid w:val="00251B3D"/>
    <w:rsid w:val="0025707B"/>
    <w:rsid w:val="00263558"/>
    <w:rsid w:val="002639F6"/>
    <w:rsid w:val="002727A0"/>
    <w:rsid w:val="00272DB6"/>
    <w:rsid w:val="002862A4"/>
    <w:rsid w:val="002C3318"/>
    <w:rsid w:val="002D41E8"/>
    <w:rsid w:val="002E55B4"/>
    <w:rsid w:val="002F61EC"/>
    <w:rsid w:val="002F7A09"/>
    <w:rsid w:val="00310376"/>
    <w:rsid w:val="00311723"/>
    <w:rsid w:val="003123C3"/>
    <w:rsid w:val="00331AFF"/>
    <w:rsid w:val="00340493"/>
    <w:rsid w:val="00346F26"/>
    <w:rsid w:val="003500C6"/>
    <w:rsid w:val="003521DC"/>
    <w:rsid w:val="00354AC8"/>
    <w:rsid w:val="00354D90"/>
    <w:rsid w:val="00355923"/>
    <w:rsid w:val="003644E7"/>
    <w:rsid w:val="00373F8D"/>
    <w:rsid w:val="0039156C"/>
    <w:rsid w:val="003948CB"/>
    <w:rsid w:val="00396BBA"/>
    <w:rsid w:val="003A7DC7"/>
    <w:rsid w:val="003B07DF"/>
    <w:rsid w:val="003B1F3C"/>
    <w:rsid w:val="003B4EB4"/>
    <w:rsid w:val="003D5402"/>
    <w:rsid w:val="003D7F56"/>
    <w:rsid w:val="003E1FB5"/>
    <w:rsid w:val="003E3C69"/>
    <w:rsid w:val="003F70AB"/>
    <w:rsid w:val="003F749D"/>
    <w:rsid w:val="0041136C"/>
    <w:rsid w:val="0041270E"/>
    <w:rsid w:val="00431B38"/>
    <w:rsid w:val="00443E9F"/>
    <w:rsid w:val="00454A5E"/>
    <w:rsid w:val="0046771C"/>
    <w:rsid w:val="00480565"/>
    <w:rsid w:val="00480F98"/>
    <w:rsid w:val="00493EDB"/>
    <w:rsid w:val="004B241B"/>
    <w:rsid w:val="004B35DA"/>
    <w:rsid w:val="004B4E2C"/>
    <w:rsid w:val="004B5AF6"/>
    <w:rsid w:val="004C3AB4"/>
    <w:rsid w:val="004E6530"/>
    <w:rsid w:val="004F0FC6"/>
    <w:rsid w:val="004F5754"/>
    <w:rsid w:val="004F7602"/>
    <w:rsid w:val="004F7A15"/>
    <w:rsid w:val="005004D4"/>
    <w:rsid w:val="00505DFC"/>
    <w:rsid w:val="00505E1B"/>
    <w:rsid w:val="00507848"/>
    <w:rsid w:val="00526FB1"/>
    <w:rsid w:val="005327F1"/>
    <w:rsid w:val="00541E5C"/>
    <w:rsid w:val="00547E53"/>
    <w:rsid w:val="00551456"/>
    <w:rsid w:val="00552C72"/>
    <w:rsid w:val="00553092"/>
    <w:rsid w:val="00560E90"/>
    <w:rsid w:val="00583589"/>
    <w:rsid w:val="00586FE5"/>
    <w:rsid w:val="00587B87"/>
    <w:rsid w:val="00591C69"/>
    <w:rsid w:val="005A1DB7"/>
    <w:rsid w:val="005A2C27"/>
    <w:rsid w:val="005B4601"/>
    <w:rsid w:val="005C0FDD"/>
    <w:rsid w:val="005C216A"/>
    <w:rsid w:val="005C632C"/>
    <w:rsid w:val="005D144D"/>
    <w:rsid w:val="005D4A32"/>
    <w:rsid w:val="005E3A00"/>
    <w:rsid w:val="005F6DB9"/>
    <w:rsid w:val="006048E3"/>
    <w:rsid w:val="0061007B"/>
    <w:rsid w:val="006127F1"/>
    <w:rsid w:val="00613D18"/>
    <w:rsid w:val="006269FF"/>
    <w:rsid w:val="00626F42"/>
    <w:rsid w:val="00627420"/>
    <w:rsid w:val="00632F1C"/>
    <w:rsid w:val="006619D3"/>
    <w:rsid w:val="00663A28"/>
    <w:rsid w:val="00672138"/>
    <w:rsid w:val="0067248E"/>
    <w:rsid w:val="00684747"/>
    <w:rsid w:val="0069261B"/>
    <w:rsid w:val="00695F7C"/>
    <w:rsid w:val="006973A2"/>
    <w:rsid w:val="006A0290"/>
    <w:rsid w:val="006A620B"/>
    <w:rsid w:val="006B0C82"/>
    <w:rsid w:val="006B1D5B"/>
    <w:rsid w:val="006B3F1F"/>
    <w:rsid w:val="006D6F59"/>
    <w:rsid w:val="006E401D"/>
    <w:rsid w:val="006F61A5"/>
    <w:rsid w:val="006F7E70"/>
    <w:rsid w:val="007031CC"/>
    <w:rsid w:val="007078B9"/>
    <w:rsid w:val="00725786"/>
    <w:rsid w:val="00734875"/>
    <w:rsid w:val="007476E9"/>
    <w:rsid w:val="00752A83"/>
    <w:rsid w:val="00761FD3"/>
    <w:rsid w:val="00764F75"/>
    <w:rsid w:val="00770435"/>
    <w:rsid w:val="00782280"/>
    <w:rsid w:val="007A43F0"/>
    <w:rsid w:val="007C67B0"/>
    <w:rsid w:val="007C7E48"/>
    <w:rsid w:val="007E174B"/>
    <w:rsid w:val="007E587A"/>
    <w:rsid w:val="007F61EF"/>
    <w:rsid w:val="007F645F"/>
    <w:rsid w:val="008134A2"/>
    <w:rsid w:val="00853A06"/>
    <w:rsid w:val="00855456"/>
    <w:rsid w:val="008639E0"/>
    <w:rsid w:val="0088145B"/>
    <w:rsid w:val="00890225"/>
    <w:rsid w:val="00890771"/>
    <w:rsid w:val="008C3181"/>
    <w:rsid w:val="008C41ED"/>
    <w:rsid w:val="008D07FD"/>
    <w:rsid w:val="00901095"/>
    <w:rsid w:val="0090145C"/>
    <w:rsid w:val="00904A50"/>
    <w:rsid w:val="00912676"/>
    <w:rsid w:val="00916282"/>
    <w:rsid w:val="00923416"/>
    <w:rsid w:val="009375E5"/>
    <w:rsid w:val="009402CA"/>
    <w:rsid w:val="00954859"/>
    <w:rsid w:val="009863CF"/>
    <w:rsid w:val="00992D8D"/>
    <w:rsid w:val="009A62ED"/>
    <w:rsid w:val="009D0E6F"/>
    <w:rsid w:val="009E3B95"/>
    <w:rsid w:val="009F2B73"/>
    <w:rsid w:val="00A03CDD"/>
    <w:rsid w:val="00A1173C"/>
    <w:rsid w:val="00A3272B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A7718"/>
    <w:rsid w:val="00AB2711"/>
    <w:rsid w:val="00AB6E70"/>
    <w:rsid w:val="00AC2B33"/>
    <w:rsid w:val="00AC313D"/>
    <w:rsid w:val="00AC7B51"/>
    <w:rsid w:val="00AC7BE6"/>
    <w:rsid w:val="00AD2DB8"/>
    <w:rsid w:val="00AD3AF6"/>
    <w:rsid w:val="00AD6731"/>
    <w:rsid w:val="00AE281B"/>
    <w:rsid w:val="00AF347A"/>
    <w:rsid w:val="00B26FEF"/>
    <w:rsid w:val="00B309B2"/>
    <w:rsid w:val="00B82F58"/>
    <w:rsid w:val="00B85EBD"/>
    <w:rsid w:val="00BA57F0"/>
    <w:rsid w:val="00BA714B"/>
    <w:rsid w:val="00BB348C"/>
    <w:rsid w:val="00BD2529"/>
    <w:rsid w:val="00BE132C"/>
    <w:rsid w:val="00C06485"/>
    <w:rsid w:val="00C07EC8"/>
    <w:rsid w:val="00C42DF6"/>
    <w:rsid w:val="00C668FF"/>
    <w:rsid w:val="00C83F7C"/>
    <w:rsid w:val="00C852D4"/>
    <w:rsid w:val="00C94279"/>
    <w:rsid w:val="00CA14C1"/>
    <w:rsid w:val="00CA1F35"/>
    <w:rsid w:val="00CA5766"/>
    <w:rsid w:val="00CB1DB1"/>
    <w:rsid w:val="00CE28F2"/>
    <w:rsid w:val="00CE7D73"/>
    <w:rsid w:val="00CF2A42"/>
    <w:rsid w:val="00D10462"/>
    <w:rsid w:val="00D12810"/>
    <w:rsid w:val="00D155A0"/>
    <w:rsid w:val="00D170CB"/>
    <w:rsid w:val="00D32315"/>
    <w:rsid w:val="00D32E62"/>
    <w:rsid w:val="00D3324C"/>
    <w:rsid w:val="00D45340"/>
    <w:rsid w:val="00D547AD"/>
    <w:rsid w:val="00D60FA7"/>
    <w:rsid w:val="00D65617"/>
    <w:rsid w:val="00D84763"/>
    <w:rsid w:val="00D90F52"/>
    <w:rsid w:val="00D93431"/>
    <w:rsid w:val="00DB7B90"/>
    <w:rsid w:val="00DE1746"/>
    <w:rsid w:val="00DE3B36"/>
    <w:rsid w:val="00DE4BFC"/>
    <w:rsid w:val="00E21718"/>
    <w:rsid w:val="00E245C8"/>
    <w:rsid w:val="00E24FCD"/>
    <w:rsid w:val="00E309BC"/>
    <w:rsid w:val="00E31A7A"/>
    <w:rsid w:val="00E343AD"/>
    <w:rsid w:val="00E35232"/>
    <w:rsid w:val="00E35A4C"/>
    <w:rsid w:val="00E64DDD"/>
    <w:rsid w:val="00E65B32"/>
    <w:rsid w:val="00E66CCF"/>
    <w:rsid w:val="00E833F8"/>
    <w:rsid w:val="00E83C9D"/>
    <w:rsid w:val="00EA2FD2"/>
    <w:rsid w:val="00EB3CF4"/>
    <w:rsid w:val="00EC54AB"/>
    <w:rsid w:val="00ED3D60"/>
    <w:rsid w:val="00EE16AA"/>
    <w:rsid w:val="00EE4CD1"/>
    <w:rsid w:val="00EF53FE"/>
    <w:rsid w:val="00EF561D"/>
    <w:rsid w:val="00F01986"/>
    <w:rsid w:val="00F100EF"/>
    <w:rsid w:val="00F311C1"/>
    <w:rsid w:val="00F369CB"/>
    <w:rsid w:val="00F41687"/>
    <w:rsid w:val="00F5437C"/>
    <w:rsid w:val="00F56305"/>
    <w:rsid w:val="00F70FB2"/>
    <w:rsid w:val="00F71803"/>
    <w:rsid w:val="00F80394"/>
    <w:rsid w:val="00F82DC3"/>
    <w:rsid w:val="00F90E70"/>
    <w:rsid w:val="00FA1B14"/>
    <w:rsid w:val="00FA519E"/>
    <w:rsid w:val="00FB5FFE"/>
    <w:rsid w:val="00FC5A94"/>
    <w:rsid w:val="00FC5AB6"/>
    <w:rsid w:val="00FD08E5"/>
    <w:rsid w:val="00FD3E2C"/>
    <w:rsid w:val="00FD4B4B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A8D93B"/>
  <w15:docId w15:val="{AA743A53-A37E-42CE-82BE-C9230413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Ttulo2">
    <w:name w:val="heading 2"/>
    <w:basedOn w:val="Ttulo1"/>
    <w:next w:val="Normal"/>
    <w:qFormat/>
    <w:pPr>
      <w:outlineLvl w:val="1"/>
    </w:pPr>
    <w:rPr>
      <w:caps w:val="0"/>
    </w:rPr>
  </w:style>
  <w:style w:type="paragraph" w:styleId="Ttulo3">
    <w:name w:val="heading 3"/>
    <w:basedOn w:val="Ttulo2"/>
    <w:next w:val="Normal"/>
    <w:qFormat/>
    <w:pPr>
      <w:outlineLvl w:val="2"/>
    </w:pPr>
    <w:rPr>
      <w:b w:val="0"/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  <w:sz w:val="24"/>
    </w:r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Textoembloco">
    <w:name w:val="Block Text"/>
    <w:basedOn w:val="Normal"/>
    <w:pPr>
      <w:ind w:left="1440" w:right="1440"/>
    </w:pPr>
  </w:style>
  <w:style w:type="paragraph" w:styleId="Legenda">
    <w:name w:val="caption"/>
    <w:basedOn w:val="Normal"/>
    <w:next w:val="Normal"/>
    <w:qFormat/>
    <w:rsid w:val="00D90F52"/>
    <w:pPr>
      <w:spacing w:before="60"/>
      <w:jc w:val="center"/>
    </w:pPr>
    <w:rPr>
      <w:b/>
      <w:sz w:val="18"/>
    </w:rPr>
  </w:style>
  <w:style w:type="paragraph" w:styleId="Encerramento">
    <w:name w:val="Closing"/>
    <w:basedOn w:val="Normal"/>
    <w:pPr>
      <w:ind w:left="4320"/>
    </w:pPr>
  </w:style>
  <w:style w:type="paragraph" w:styleId="Textodecomentrio">
    <w:name w:val="annotation text"/>
    <w:basedOn w:val="Normal"/>
    <w:semiHidden/>
  </w:style>
  <w:style w:type="paragraph" w:styleId="Data">
    <w:name w:val="Date"/>
    <w:basedOn w:val="Normal"/>
    <w:next w:val="Normal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pPr>
      <w:tabs>
        <w:tab w:val="left" w:pos="360"/>
      </w:tabs>
    </w:p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Pr>
      <w:rFonts w:ascii="Arial" w:hAnsi="Arial"/>
      <w:b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Commarcadores">
    <w:name w:val="List Bullet"/>
    <w:basedOn w:val="Normal"/>
    <w:autoRedefine/>
    <w:pPr>
      <w:numPr>
        <w:numId w:val="11"/>
      </w:numPr>
    </w:pPr>
  </w:style>
  <w:style w:type="paragraph" w:styleId="Commarcadores2">
    <w:name w:val="List Bullet 2"/>
    <w:basedOn w:val="Normal"/>
    <w:autoRedefine/>
    <w:pPr>
      <w:numPr>
        <w:numId w:val="12"/>
      </w:numPr>
    </w:pPr>
  </w:style>
  <w:style w:type="paragraph" w:styleId="Commarcadores3">
    <w:name w:val="List Bullet 3"/>
    <w:basedOn w:val="Normal"/>
    <w:autoRedefine/>
    <w:pPr>
      <w:numPr>
        <w:numId w:val="13"/>
      </w:numPr>
    </w:pPr>
  </w:style>
  <w:style w:type="paragraph" w:styleId="Commarcadores4">
    <w:name w:val="List Bullet 4"/>
    <w:basedOn w:val="Normal"/>
    <w:autoRedefine/>
    <w:pPr>
      <w:numPr>
        <w:numId w:val="14"/>
      </w:numPr>
    </w:pPr>
  </w:style>
  <w:style w:type="paragraph" w:styleId="Commarcadores5">
    <w:name w:val="List Bullet 5"/>
    <w:basedOn w:val="Normal"/>
    <w:autoRedefine/>
    <w:pPr>
      <w:numPr>
        <w:numId w:val="15"/>
      </w:numPr>
    </w:pPr>
  </w:style>
  <w:style w:type="paragraph" w:styleId="Listadecontinuao">
    <w:name w:val="List Continue"/>
    <w:basedOn w:val="Normal"/>
    <w:pPr>
      <w:ind w:left="360"/>
    </w:pPr>
  </w:style>
  <w:style w:type="paragraph" w:styleId="Listadecontinuao2">
    <w:name w:val="List Continue 2"/>
    <w:basedOn w:val="Normal"/>
    <w:pPr>
      <w:ind w:left="720"/>
    </w:pPr>
  </w:style>
  <w:style w:type="paragraph" w:styleId="Listadecontinuao3">
    <w:name w:val="List Continue 3"/>
    <w:basedOn w:val="Normal"/>
    <w:pPr>
      <w:ind w:left="1080"/>
    </w:pPr>
  </w:style>
  <w:style w:type="paragraph" w:styleId="Listadecontinuao4">
    <w:name w:val="List Continue 4"/>
    <w:basedOn w:val="Normal"/>
    <w:pPr>
      <w:ind w:left="1440"/>
    </w:pPr>
  </w:style>
  <w:style w:type="paragraph" w:styleId="Listadecontinuao5">
    <w:name w:val="List Continue 5"/>
    <w:basedOn w:val="Normal"/>
    <w:pPr>
      <w:ind w:left="1800"/>
    </w:pPr>
  </w:style>
  <w:style w:type="paragraph" w:styleId="Numerada">
    <w:name w:val="List Number"/>
    <w:basedOn w:val="Normal"/>
    <w:pPr>
      <w:numPr>
        <w:numId w:val="16"/>
      </w:numPr>
    </w:pPr>
  </w:style>
  <w:style w:type="paragraph" w:styleId="Numerada2">
    <w:name w:val="List Number 2"/>
    <w:basedOn w:val="Normal"/>
    <w:pPr>
      <w:numPr>
        <w:numId w:val="17"/>
      </w:numPr>
    </w:pPr>
  </w:style>
  <w:style w:type="paragraph" w:styleId="Numerada3">
    <w:name w:val="List Number 3"/>
    <w:basedOn w:val="Normal"/>
    <w:pPr>
      <w:numPr>
        <w:numId w:val="18"/>
      </w:numPr>
    </w:pPr>
  </w:style>
  <w:style w:type="paragraph" w:styleId="Numerada4">
    <w:name w:val="List Number 4"/>
    <w:basedOn w:val="Normal"/>
    <w:pPr>
      <w:numPr>
        <w:numId w:val="19"/>
      </w:numPr>
    </w:pPr>
  </w:style>
  <w:style w:type="paragraph" w:styleId="Numerada5">
    <w:name w:val="List Number 5"/>
    <w:basedOn w:val="Normal"/>
    <w:pPr>
      <w:numPr>
        <w:numId w:val="20"/>
      </w:numPr>
    </w:p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Recuonormal">
    <w:name w:val="Normal Indent"/>
    <w:basedOn w:val="Normal"/>
    <w:pPr>
      <w:ind w:left="720"/>
    </w:pPr>
  </w:style>
  <w:style w:type="paragraph" w:styleId="Ttulodanota">
    <w:name w:val="Note Heading"/>
    <w:basedOn w:val="Normal"/>
    <w:next w:val="Normal"/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Saudao">
    <w:name w:val="Salutation"/>
    <w:basedOn w:val="Normal"/>
    <w:next w:val="Normal"/>
  </w:style>
  <w:style w:type="paragraph" w:styleId="Assinatura">
    <w:name w:val="Signature"/>
    <w:basedOn w:val="Normal"/>
    <w:pPr>
      <w:ind w:left="43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character" w:styleId="Refdenotaderodap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Refdecomentrio">
    <w:name w:val="annotation reference"/>
    <w:semiHidden/>
    <w:rPr>
      <w:sz w:val="16"/>
    </w:rPr>
  </w:style>
  <w:style w:type="paragraph" w:customStyle="1" w:styleId="Abstract">
    <w:name w:val="Abstract"/>
    <w:basedOn w:val="Ttulo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Fontepargpadro"/>
  </w:style>
  <w:style w:type="paragraph" w:customStyle="1" w:styleId="TableText">
    <w:name w:val="Table Text"/>
    <w:basedOn w:val="Normal"/>
    <w:rsid w:val="00D90F52"/>
    <w:pPr>
      <w:keepLines/>
      <w:spacing w:before="40" w:after="40"/>
      <w:jc w:val="center"/>
    </w:pPr>
  </w:style>
  <w:style w:type="character" w:styleId="HiperlinkVisitado">
    <w:name w:val="FollowedHyperlink"/>
    <w:basedOn w:val="Hyperlink"/>
    <w:rsid w:val="004F7A15"/>
    <w:rPr>
      <w:color w:val="4F81BD"/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D66A4"/>
    <w:rPr>
      <w:b/>
      <w:bCs/>
    </w:rPr>
  </w:style>
  <w:style w:type="paragraph" w:styleId="Textodebalo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Fontepargpadro"/>
    <w:rsid w:val="00F01986"/>
  </w:style>
  <w:style w:type="paragraph" w:customStyle="1" w:styleId="Link">
    <w:name w:val="Link"/>
    <w:basedOn w:val="Normal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Fontepargpadro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Fontepargpadro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Normal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m.org/class/how_to_use.html%2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9bZkp7q19f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acm.org/10.1145/503376.50337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1007/s00779-014-0773-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gaccess.org/welcome-to-sigaccess/resources/accessible-writing-gu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D48B-CE33-47EC-B6C5-11168D37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915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SIGCHI Conference Paper Format</vt:lpstr>
      <vt:lpstr>SIGCHI Conference Paper Format</vt:lpstr>
    </vt:vector>
  </TitlesOfParts>
  <Company>ACM</Company>
  <LinksUpToDate>false</LinksUpToDate>
  <CharactersWithSpaces>5849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Denise Maciel</cp:lastModifiedBy>
  <cp:revision>3</cp:revision>
  <cp:lastPrinted>2015-02-13T20:42:00Z</cp:lastPrinted>
  <dcterms:created xsi:type="dcterms:W3CDTF">2017-04-21T19:37:00Z</dcterms:created>
  <dcterms:modified xsi:type="dcterms:W3CDTF">2017-04-21T19:47:00Z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