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Lista de exercícios Matemática Computacional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Parte B – Prof. Dr. Reinaldo Rosa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Grupo: Denis M. A. Eiras e Cristiano E. P. Reis</w:t>
      </w:r>
    </w:p>
    <w:p w:rsidR="00000000" w:rsidDel="00000000" w:rsidP="00000000" w:rsidRDefault="00000000" w:rsidRPr="00000000" w14:paraId="0000000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Exercício 2 - 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Repita o exercício anterior considerando, entretanto, o algoritmo colorednoise.py. Neste caso, considere N= 8192 e diversifique os dados em 3 famílias: white noise, pink noise e red noise.</w:t>
      </w:r>
    </w:p>
    <w:p w:rsidR="00000000" w:rsidDel="00000000" w:rsidP="00000000" w:rsidRDefault="00000000" w:rsidRPr="00000000" w14:paraId="0000000B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Produza pelo menos 20 sinais para cada família. Total do Grupo ColorNoise: 60.</w:t>
      </w:r>
    </w:p>
    <w:p w:rsidR="00000000" w:rsidDel="00000000" w:rsidP="00000000" w:rsidRDefault="00000000" w:rsidRPr="00000000" w14:paraId="0000000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Exercício 2 – Detalhes da implementação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ab/>
        <w:t xml:space="preserve">Para a resolução do Exercício 2, foi implementado o programa principal exercicio2.py para executar o exercício por completo, que utiliza as funções dos programas do exercício 1: exercicio1_2.py e exercicio1_3.py.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ab/>
        <w:t xml:space="preserve">O exercício 2 funciona de maneira análoga ao exercício1, mas implementa a geração de sinais </w:t>
      </w:r>
      <w:r w:rsidDel="00000000" w:rsidR="00000000" w:rsidRPr="00000000">
        <w:rPr>
          <w:b w:val="0"/>
          <w:i w:val="1"/>
          <w:vertAlign w:val="baseline"/>
          <w:rtl w:val="0"/>
        </w:rPr>
        <w:t xml:space="preserve">colored noise </w:t>
      </w:r>
      <w:r w:rsidDel="00000000" w:rsidR="00000000" w:rsidRPr="00000000">
        <w:rPr>
          <w:b w:val="0"/>
          <w:i w:val="0"/>
          <w:vertAlign w:val="baseline"/>
          <w:rtl w:val="0"/>
        </w:rPr>
        <w:t xml:space="preserve">em uma função própria, onde é possível utilizar os parâmetros que determinam, a quantidade de elementos (famílias), número de sinais e betas.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vertAlign w:val="baseline"/>
        </w:rPr>
      </w:pPr>
      <w:r w:rsidDel="00000000" w:rsidR="00000000" w:rsidRPr="00000000">
        <w:rPr>
          <w:b w:val="0"/>
          <w:i w:val="0"/>
          <w:vertAlign w:val="baseline"/>
          <w:rtl w:val="0"/>
        </w:rPr>
        <w:tab/>
        <w:t xml:space="preserve">Adicionalmente, foi implementado um gráfico que exibe a densidade do Power Spectrum, caso se deseje (pode ser configurado).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vertAlign w:val="baseline"/>
        </w:rPr>
      </w:pPr>
      <w:r w:rsidDel="00000000" w:rsidR="00000000" w:rsidRPr="00000000">
        <w:rPr>
          <w:b w:val="0"/>
          <w:i w:val="0"/>
          <w:vertAlign w:val="baseline"/>
          <w:rtl w:val="0"/>
        </w:rPr>
        <w:tab/>
        <w:t xml:space="preserve">Mais detalhes podem ser consultados na própria documentação do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Análise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b w:val="0"/>
          <w:vertAlign w:val="baseline"/>
          <w:rtl w:val="0"/>
        </w:rPr>
        <w:t xml:space="preserve">Algumas execuções do exercicio2.py exibiram histogramas com dados bastante centralizados, aproximando</w:t>
      </w:r>
      <w:r w:rsidDel="00000000" w:rsidR="00000000" w:rsidRPr="00000000">
        <w:rPr>
          <w:rtl w:val="0"/>
        </w:rPr>
        <w:t xml:space="preserve">-se de uma gaussiana,</w:t>
      </w:r>
      <w:r w:rsidDel="00000000" w:rsidR="00000000" w:rsidRPr="00000000">
        <w:rPr>
          <w:b w:val="0"/>
          <w:vertAlign w:val="baseline"/>
          <w:rtl w:val="0"/>
        </w:rPr>
        <w:t xml:space="preserve"> sempre com o mesmo número de valores da família, </w:t>
      </w:r>
      <w:r w:rsidDel="00000000" w:rsidR="00000000" w:rsidRPr="00000000">
        <w:rPr>
          <w:b w:val="0"/>
          <w:vertAlign w:val="baseline"/>
          <w:rtl w:val="0"/>
        </w:rPr>
        <w:t xml:space="preserve">como exibem as figuras 1.a, 1.b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</w:rPr>
        <w:drawing>
          <wp:inline distB="0" distT="0" distL="114300" distR="114300">
            <wp:extent cx="2875915" cy="2515235"/>
            <wp:effectExtent b="0" l="0" r="0" t="0"/>
            <wp:docPr id="10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2515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vertAlign w:val="baseline"/>
          <w:rtl w:val="0"/>
        </w:rPr>
        <w:t xml:space="preserve">     </w:t>
      </w:r>
      <w:r w:rsidDel="00000000" w:rsidR="00000000" w:rsidRPr="00000000">
        <w:rPr>
          <w:b w:val="1"/>
          <w:vertAlign w:val="baseline"/>
        </w:rPr>
        <w:drawing>
          <wp:inline distB="0" distT="0" distL="114300" distR="114300">
            <wp:extent cx="2861310" cy="2499995"/>
            <wp:effectExtent b="0" l="0" r="0" t="0"/>
            <wp:docPr id="103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2499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Figura 1. a) à esquerda b) à direita.</w:t>
      </w:r>
    </w:p>
    <w:p w:rsidR="00000000" w:rsidDel="00000000" w:rsidP="00000000" w:rsidRDefault="00000000" w:rsidRPr="00000000" w14:paraId="0000001A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figura 2.a, exibe um histograma um pouco menos próximo da curva normal, indicando uma maior variabilidade dos valores.</w:t>
      </w:r>
    </w:p>
    <w:p w:rsidR="00000000" w:rsidDel="00000000" w:rsidP="00000000" w:rsidRDefault="00000000" w:rsidRPr="00000000" w14:paraId="0000001C">
      <w:pPr>
        <w:jc w:val="both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</w:rPr>
        <w:drawing>
          <wp:inline distB="0" distT="0" distL="114300" distR="114300">
            <wp:extent cx="2861310" cy="2499995"/>
            <wp:effectExtent b="0" l="0" r="0" t="0"/>
            <wp:docPr id="103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2499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Figura 2. a) à esquerda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b w:val="0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No gráfico da frequência de log por log, é possível verificar a variação dos ruídos de acordo com os betas. 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ab/>
        <w:t xml:space="preserve">Na figura power_spec_beta_0 (fig. 3.a), o ruído demonstra predominância em altas frequências, mantendo a energia em torno da média, com o aumento da frequência.</w:t>
      </w:r>
    </w:p>
    <w:p w:rsidR="00000000" w:rsidDel="00000000" w:rsidP="00000000" w:rsidRDefault="00000000" w:rsidRPr="00000000" w14:paraId="00000025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Com o aumento do valor de Beta, nas figuras 3.b e 4.a, a densidade do ruído …   como demonstrado nos histogramas ….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/>
        <w:drawing>
          <wp:inline distB="0" distT="0" distL="114300" distR="114300">
            <wp:extent cx="2875915" cy="2515235"/>
            <wp:effectExtent b="0" l="0" r="0" t="0"/>
            <wp:docPr id="103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2515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0" distT="0" distL="114300" distR="114300">
            <wp:extent cx="2875915" cy="2515235"/>
            <wp:effectExtent b="0" l="0" r="0" t="0"/>
            <wp:docPr id="10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2515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3. Densidade do Power Spectum. a) Beta = 0 b) Beta =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/>
        <w:drawing>
          <wp:inline distB="0" distT="0" distL="114300" distR="114300">
            <wp:extent cx="2875915" cy="2515235"/>
            <wp:effectExtent b="0" l="0" r="0" t="0"/>
            <wp:docPr id="102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2515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4. a) Densidade do Power Spectum para Beta =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jc w:val="both"/>
        <w:rPr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Para verificar se há classes nos espaço de parâmetros composto por variância, assimetria e curtose, o algoritmo K-means foi executado com k entre 2 e 7.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b w:val="0"/>
          <w:vertAlign w:val="baseline"/>
          <w:rtl w:val="0"/>
        </w:rPr>
        <w:tab/>
        <w:t xml:space="preserve">A primeira estratégia para identificar o melhor k, foi analisar o gráficos gerados pelo K-m</w:t>
      </w:r>
      <w:r w:rsidDel="00000000" w:rsidR="00000000" w:rsidRPr="00000000">
        <w:rPr>
          <w:rtl w:val="0"/>
        </w:rPr>
        <w:t xml:space="preserve">eans,</w:t>
      </w:r>
      <w:r w:rsidDel="00000000" w:rsidR="00000000" w:rsidRPr="00000000">
        <w:rPr>
          <w:b w:val="0"/>
          <w:vertAlign w:val="baseline"/>
          <w:rtl w:val="0"/>
        </w:rPr>
        <w:t xml:space="preserve"> para cada k, que exibem as áreas dos momentos estatísticos na diagonal principal e </w:t>
      </w:r>
      <w:r w:rsidDel="00000000" w:rsidR="00000000" w:rsidRPr="00000000">
        <w:rPr>
          <w:rtl w:val="0"/>
        </w:rPr>
        <w:t xml:space="preserve">o agrupamento </w:t>
      </w:r>
      <w:r w:rsidDel="00000000" w:rsidR="00000000" w:rsidRPr="00000000">
        <w:rPr>
          <w:b w:val="0"/>
          <w:vertAlign w:val="baseline"/>
          <w:rtl w:val="0"/>
        </w:rPr>
        <w:t xml:space="preserve">dos pontos para cada par de momento estatístico. </w:t>
      </w:r>
      <w:r w:rsidDel="00000000" w:rsidR="00000000" w:rsidRPr="00000000">
        <w:rPr>
          <w:rtl w:val="0"/>
        </w:rPr>
        <w:t xml:space="preserve">Observando todas as figuras, a figura 5 é a que exibe um melhor agrupamento dos pontos, principalmente considerando a assimetria e curtose. O agrupamento dos pontos entre variância e curtose, ou variância e assimetria, mostra que alguns pontos estão próximos do centróide de outro agrupamento (outliers), o que pode ser confirmado com a intersecção dos gráficos da variância no canto superior esquerdo da figura 5.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</w:rPr>
        <w:drawing>
          <wp:inline distB="0" distT="0" distL="114300" distR="114300">
            <wp:extent cx="2920365" cy="2794000"/>
            <wp:effectExtent b="0" l="0" r="0" t="0"/>
            <wp:docPr id="10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32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Figura </w:t>
      </w:r>
      <w:r w:rsidDel="00000000" w:rsidR="00000000" w:rsidRPr="00000000">
        <w:rPr>
          <w:b w:val="1"/>
          <w:sz w:val="20"/>
          <w:szCs w:val="20"/>
          <w:rtl w:val="0"/>
        </w:rPr>
        <w:t xml:space="preserve">5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. Agrupamentos </w:t>
      </w:r>
      <w:r w:rsidDel="00000000" w:rsidR="00000000" w:rsidRPr="00000000">
        <w:rPr>
          <w:b w:val="1"/>
          <w:sz w:val="20"/>
          <w:szCs w:val="20"/>
          <w:rtl w:val="0"/>
        </w:rPr>
        <w:t xml:space="preserve">K-means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  <w:tab/>
        <w:t xml:space="preserve">Utilizando o método do cotovelo, sendo o da figura 6.a uma implementação dos autores, e a figura 6.b uma implementação do pacote yellowbrick, percebe-se uma quebra da curva para k =5 ligeiramente maior que para os outros valores de k, confirmando a escolha do k = 5. A observação das figuras do método da silhueta também indicaram uma maior média para k = 5, sem apresentar </w:t>
      </w:r>
      <w:r w:rsidDel="00000000" w:rsidR="00000000" w:rsidRPr="00000000">
        <w:rPr>
          <w:i w:val="1"/>
          <w:rtl w:val="0"/>
        </w:rPr>
        <w:t xml:space="preserve">outliers</w:t>
      </w:r>
      <w:r w:rsidDel="00000000" w:rsidR="00000000" w:rsidRPr="00000000">
        <w:rPr>
          <w:rtl w:val="0"/>
        </w:rPr>
        <w:t xml:space="preserve">, como pode-se observar na figura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     </w:t>
      </w:r>
      <w:r w:rsidDel="00000000" w:rsidR="00000000" w:rsidRPr="00000000">
        <w:rPr>
          <w:b w:val="0"/>
          <w:vertAlign w:val="baseline"/>
        </w:rPr>
        <w:drawing>
          <wp:inline distB="0" distT="0" distL="114300" distR="114300">
            <wp:extent cx="2880995" cy="2516505"/>
            <wp:effectExtent b="0" l="0" r="0" t="0"/>
            <wp:docPr id="10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2516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2875915" cy="2516505"/>
            <wp:effectExtent b="0" l="0" r="0" t="0"/>
            <wp:docPr id="102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2516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Figura </w:t>
      </w:r>
      <w:r w:rsidDel="00000000" w:rsidR="00000000" w:rsidRPr="00000000">
        <w:rPr>
          <w:b w:val="1"/>
          <w:sz w:val="20"/>
          <w:szCs w:val="20"/>
          <w:rtl w:val="0"/>
        </w:rPr>
        <w:t xml:space="preserve">6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. </w:t>
      </w:r>
      <w:r w:rsidDel="00000000" w:rsidR="00000000" w:rsidRPr="00000000">
        <w:rPr>
          <w:b w:val="1"/>
          <w:sz w:val="20"/>
          <w:szCs w:val="20"/>
          <w:rtl w:val="0"/>
        </w:rPr>
        <w:t xml:space="preserve">Métodos do cotovelo. a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b w:val="1"/>
          <w:sz w:val="20"/>
          <w:szCs w:val="20"/>
          <w:rtl w:val="0"/>
        </w:rPr>
        <w:t xml:space="preserve"> implementação dos autores b) pacote yellowbrick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     </w:t>
      </w:r>
      <w:r w:rsidDel="00000000" w:rsidR="00000000" w:rsidRPr="00000000">
        <w:rPr>
          <w:b w:val="0"/>
          <w:vertAlign w:val="baseline"/>
        </w:rPr>
        <w:drawing>
          <wp:inline distB="0" distT="0" distL="114300" distR="114300">
            <wp:extent cx="2880360" cy="2521585"/>
            <wp:effectExtent b="0" l="0" r="0" t="0"/>
            <wp:docPr id="10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521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Figura </w:t>
      </w:r>
      <w:r w:rsidDel="00000000" w:rsidR="00000000" w:rsidRPr="00000000">
        <w:rPr>
          <w:b w:val="1"/>
          <w:sz w:val="20"/>
          <w:szCs w:val="20"/>
          <w:rtl w:val="0"/>
        </w:rPr>
        <w:t xml:space="preserve">7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. </w:t>
      </w:r>
      <w:r w:rsidDel="00000000" w:rsidR="00000000" w:rsidRPr="00000000">
        <w:rPr>
          <w:b w:val="1"/>
          <w:sz w:val="20"/>
          <w:szCs w:val="20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étodo da silhueta do pacote yellowbrick.</w:t>
      </w:r>
    </w:p>
    <w:p w:rsidR="00000000" w:rsidDel="00000000" w:rsidP="00000000" w:rsidRDefault="00000000" w:rsidRPr="00000000" w14:paraId="0000003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Exercício 2 – 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b w:val="0"/>
          <w:vertAlign w:val="baseline"/>
          <w:rtl w:val="0"/>
        </w:rPr>
        <w:tab/>
        <w:t xml:space="preserve">O método k-means não identificou claramente uma divisão de classes bem definida para um determinado k, como ocorreu para o exercício 1, utilizando o método do cotovelo, mas é possível perceber que o método da Silhueta e do Cotovelo identificam o melhor k como sendo igual a 5.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ab/>
        <w:t xml:space="preserve">Os momentos estatísticos assimetria e curtose serviram como bons agrupadores, diferentemente da variância, que apresentou alguns </w:t>
      </w:r>
      <w:r w:rsidDel="00000000" w:rsidR="00000000" w:rsidRPr="00000000">
        <w:rPr>
          <w:i w:val="1"/>
          <w:rtl w:val="0"/>
        </w:rPr>
        <w:t xml:space="preserve">outliers.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jc w:val="both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FreeSans" w:eastAsia="Noto Sans CJK SC Regular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character" w:styleId="WW8Num1z0">
    <w:name w:val="WW8Num1z0"/>
    <w:next w:val="WW8Num1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Marcas">
    <w:name w:val="Marcas"/>
    <w:next w:val="Marca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LinkdaInternet">
    <w:name w:val="Link da Internet"/>
    <w:next w:val="LinkdaInternet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 w:bidi="und" w:eastAsia="und" w:val="und"/>
    </w:rPr>
  </w:style>
  <w:style w:type="paragraph" w:styleId="Título">
    <w:name w:val="Título"/>
    <w:basedOn w:val="Normal"/>
    <w:next w:val="Corpodetexto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FreeSans" w:eastAsia="Noto Sans CJK SC Regular" w:hAnsi="Liberation Sans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hi-IN" w:eastAsia="zh-CN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widowControl w:val="1"/>
      <w:suppressAutoHyphens w:val="0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Liberation Serif" w:cs="FreeSans" w:eastAsia="Noto Sans CJK SC Regular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widowControl w:val="1"/>
      <w:suppressAutoHyphens w:val="0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Liberation Serif" w:cs="FreeSans" w:eastAsia="Noto Sans CJK SC Regular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FreeSans" w:eastAsia="Noto Sans CJK SC Regular" w:hAnsi="Liberation Serif"/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FreeSans" w:eastAsia="Noto Sans CJK SC Regular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extopréformatado">
    <w:name w:val="Texto préformatado"/>
    <w:basedOn w:val="Normal"/>
    <w:next w:val="Textopréformatado"/>
    <w:autoRedefine w:val="0"/>
    <w:hidden w:val="0"/>
    <w:qFormat w:val="0"/>
    <w:pPr>
      <w:widowControl w:val="1"/>
      <w:suppressAutoHyphens w:val="0"/>
      <w:bidi w:val="0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rFonts w:ascii="Liberation Mono" w:cs="Liberation Mono" w:eastAsia="Nimbus Mono L" w:hAnsi="Liberation Mono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hi-IN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b3zqtbABA101puxdiL1P86ybg==">AMUW2mW34mg7nv6iy9Q1ywUPOaaSQYA5IAqt5cTp9er+T1BHhGrG9OG++mHYdGK8b84AFn1JQXRJ6VhNFhpsao2jLPeg2in+HBgyFzcrR/ACt5Awyxutv+0=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2020-05-08T13:30:26Z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