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Absolute Effects and Shifts in Raw Mechanism Coefficients</w:t>
      </w:r>
    </w:p>
    <w:tbl>
      <w:tblPr>
        <w:tblStyle w:val="Table"/>
        <w:tblW w:type="pct" w:w="4805"/>
        <w:tblLayout w:type="fixed"/>
        <w:tblLook w:firstRow="1" w:lastRow="1" w:firstColumn="0" w:lastColumn="0" w:noHBand="0" w:noVBand="0" w:val="0020"/>
        <w:tblCaption w:val="Absolute Effects and Shifts in Raw Mechanism Coefficients"/>
      </w:tblPr>
      <w:tblGrid>
        <w:gridCol w:w="3600"/>
        <w:gridCol w:w="1131"/>
        <w:gridCol w:w="822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In-group Beliefs (Stage 1)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3.558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In-group Beliefs (Stage 2)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3.833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C1 Diff (S2 - S1)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Out-group Beliefs (Stage 1)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1.570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Out-group Beliefs (Stage 2)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3.670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C2 Diff (S2 - S1)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1.772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Observed Compliance (Stage 1)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2.090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Observed Compliance (Stage 2)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1.379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C3 Diff (S2 - S1)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-0.429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(C1 + C2) - C3 (Stage 1)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3.781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(C1 + C2) - C3 (Stage 2)</w:t>
            </w:r>
          </w:p>
        </w:tc>
        <w:tc>
          <w:tcPr/>
          <w:p>
            <w:pPr>
              <w:pStyle w:val="Compact"/>
            </w:pPr>
            <w:r>
              <w:t xml:space="preserve">0.496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6.306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[(C1 + C2) - C3] (S2 - S1)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2.291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linear combinations from the mixed-effects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Stage 2 effects represent the sum of the baseline coefficient and the</w:t>
            </w:r>
            <w:r>
              <w:t xml:space="preserve"> </w:t>
            </w:r>
            <w:r>
              <w:t xml:space="preserve">interaction term.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Δ represents the interaction term (Stage 2 - Stage 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2026-09-08T20:32:01Z</dcterms:created>
  <dcterms:modified xsi:type="dcterms:W3CDTF">2026-09-08T20:32:01Z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