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Differences (Δ) and Differences-in-Differences (DiD) for γ and λ across Stages (S2 - S1)</w:t>
      </w:r>
    </w:p>
    <w:tbl>
      <w:tblPr>
        <w:tblStyle w:val="Table"/>
        <w:tblW w:type="pct" w:w="4797"/>
        <w:tblLayout w:type="fixed"/>
        <w:tblLook w:firstRow="1" w:lastRow="1" w:firstColumn="0" w:lastColumn="0" w:noHBand="0" w:noVBand="0" w:val="0020"/>
        <w:tblCaption w:val="Differences (Δ) and Differences-in-Differences (DiD) for γ and λ across Stages (S2 - S1)"/>
      </w:tblPr>
      <w:tblGrid>
        <w:gridCol w:w="3424"/>
        <w:gridCol w:w="1177"/>
        <w:gridCol w:w="856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Gamma (S2 - S1)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2.012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λ1 (In-group Beliefs)</w:t>
            </w:r>
          </w:p>
        </w:tc>
        <w:tc>
          <w:tcPr/>
          <w:p>
            <w:pPr>
              <w:pStyle w:val="Compact"/>
            </w:pPr>
            <w:r>
              <w:t xml:space="preserve">-0.125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-0.663</w:t>
            </w:r>
          </w:p>
        </w:tc>
        <w:tc>
          <w:tcPr/>
          <w:p>
            <w:pPr>
              <w:pStyle w:val="Compact"/>
            </w:pPr>
            <w:r>
              <w:t xml:space="preserve">0.507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λ2 (Out-group Beliefs)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1.150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λ3 (Observed Compliance)</w:t>
            </w:r>
          </w:p>
        </w:tc>
        <w:tc>
          <w:tcPr/>
          <w:p>
            <w:pPr>
              <w:pStyle w:val="Compact"/>
            </w:pPr>
            <w:r>
              <w:t xml:space="preserve">-0.094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-0.994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(λ1 + λ2) [Beliefs Overall]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(λ1 + λ3) [In-group + Obs]</w:t>
            </w:r>
          </w:p>
        </w:tc>
        <w:tc>
          <w:tcPr/>
          <w:p>
            <w:pPr>
              <w:pStyle w:val="Compact"/>
            </w:pPr>
            <w:r>
              <w:t xml:space="preserve">-0.219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-1.150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(λ2 + λ3) [Out-group + Obs]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  <w:tc>
          <w:tcPr/>
          <w:p>
            <w:pPr>
              <w:pStyle w:val="Compact"/>
            </w:pPr>
            <w:r>
              <w:t xml:space="preserve">0.507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DiD: Δλ1 vs Δλ2</w:t>
            </w:r>
          </w:p>
        </w:tc>
        <w:tc>
          <w:tcPr/>
          <w:p>
            <w:pPr>
              <w:pStyle w:val="Compact"/>
            </w:pPr>
            <w:r>
              <w:t xml:space="preserve">-0.344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-0.938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DiD: Δλ1 vs Δλ3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0.229</w:t>
            </w:r>
          </w:p>
        </w:tc>
        <w:tc>
          <w:tcPr/>
          <w:p>
            <w:pPr>
              <w:pStyle w:val="Compact"/>
            </w:pPr>
            <w:r>
              <w:t xml:space="preserve">-0.133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DiD: Δλ2 vs Δλ3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  <w:tc>
          <w:tcPr/>
          <w:p>
            <w:pPr>
              <w:pStyle w:val="Compact"/>
            </w:pPr>
            <w:r>
              <w:t xml:space="preserve">1.335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Estimates calculated via the delta method from the mixed-effects</w:t>
            </w:r>
            <w:r>
              <w:t xml:space="preserve"> </w:t>
            </w:r>
            <w:r>
              <w:t xml:space="preserve">model.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Δ represents (Stage 2 - Stage 1).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DiD evaluates if one mechanism’s weight shifted significantly more</w:t>
            </w:r>
            <w:r>
              <w:t xml:space="preserve"> </w:t>
            </w:r>
            <w:r>
              <w:t xml:space="preserve">than another’s.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2026-09-08T20:06:01Z</dcterms:created>
  <dcterms:modified xsi:type="dcterms:W3CDTF">2026-09-08T20:06:01Z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