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Tests for Shifts in Raw Mechanism Coefficients</w:t>
      </w:r>
    </w:p>
    <w:tbl>
      <w:tblPr>
        <w:tblStyle w:val="Table"/>
        <w:tblW w:type="pct" w:w="4828"/>
        <w:tblLayout w:type="fixed"/>
        <w:tblLook w:firstRow="1" w:lastRow="1" w:firstColumn="0" w:lastColumn="0" w:noHBand="0" w:noVBand="0" w:val="0020"/>
        <w:tblCaption w:val="Tests for Shifts in Raw Mechanism Coefficients"/>
      </w:tblPr>
      <w:tblGrid>
        <w:gridCol w:w="4096"/>
        <w:gridCol w:w="1001"/>
        <w:gridCol w:w="728"/>
        <w:gridCol w:w="910"/>
        <w:gridCol w:w="9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Z_value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 (Sum of C1+C2+C3): Stage 1</w:t>
            </w:r>
          </w:p>
        </w:tc>
        <w:tc>
          <w:tcPr/>
          <w:p>
            <w:pPr>
              <w:pStyle w:val="Compact"/>
            </w:pPr>
            <w:r>
              <w:t xml:space="preserve">0.403</w:t>
            </w:r>
          </w:p>
        </w:tc>
        <w:tc>
          <w:tcPr/>
          <w:p>
            <w:pPr>
              <w:pStyle w:val="Compact"/>
            </w:pPr>
            <w:r>
              <w:t xml:space="preserve">0.066</w:t>
            </w:r>
          </w:p>
        </w:tc>
        <w:tc>
          <w:tcPr/>
          <w:p>
            <w:pPr>
              <w:pStyle w:val="Compact"/>
            </w:pPr>
            <w:r>
              <w:t xml:space="preserve">6.094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 (Sum of C1+C2+C3): Stage 2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  <w:tc>
          <w:tcPr/>
          <w:p>
            <w:pPr>
              <w:pStyle w:val="Compac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  <w:r>
              <w:t xml:space="preserve">7.917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Gamma: Difference (S2 - S1)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2.012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(In-group) Diff (S2 - S1)</w:t>
            </w:r>
          </w:p>
        </w:tc>
        <w:tc>
          <w:tcPr/>
          <w:p>
            <w:pPr>
              <w:pStyle w:val="Compact"/>
            </w:pPr>
            <w:r>
              <w:t xml:space="preserve">0.033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0.370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 (Out-group) Diff (S2 - S1)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1.772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(Observed) Diff (S2 - S1)</w:t>
            </w: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-0.429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+ C2 &gt; C3 (Stage 1)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3.781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 + C2 &gt; C3 (Stage 2)</w:t>
            </w:r>
          </w:p>
        </w:tc>
        <w:tc>
          <w:tcPr/>
          <w:p>
            <w:pPr>
              <w:pStyle w:val="Compact"/>
            </w:pPr>
            <w:r>
              <w:t xml:space="preserve">0.496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  <w:tc>
          <w:tcPr/>
          <w:p>
            <w:pPr>
              <w:pStyle w:val="Compact"/>
            </w:pPr>
            <w:r>
              <w:t xml:space="preserve">6.306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(Stage 1 C1+C2) &lt; (Stage 2 C1+C2)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t xml:space="preserve">2.482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Cross-Stage: (C1+C3 in S2) - (C1+C2 in S1)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-0.250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Estimates calculated via linear combinations from the mixed-effects model.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C1 = In-group beliefs, C2 = Out-group beliefs, C3 = Observed compliance.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For directional tests (&gt;, &lt;), an Estimate &gt; 0 indicates the left side of the</w:t>
            </w:r>
            <w:r>
              <w:t xml:space="preserve"> </w:t>
            </w:r>
            <w:r>
              <w:t xml:space="preserve">underlying subtraction is larger.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2026-09-08T19:54:14Z</dcterms:created>
  <dcterms:modified xsi:type="dcterms:W3CDTF">2026-09-08T19:54:14Z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