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ableCaption"/>
      </w:pPr>
      <w:r>
        <w:t xml:space="preserve">Table C: Proportion of Participants by Prior Belief Revision</w:t>
      </w:r>
    </w:p>
    <w:tbl>
      <w:tblPr>
        <w:tblStyle w:val="Table"/>
        <w:tblW w:type="pct" w:w="4885"/>
        <w:tblLayout w:type="fixed"/>
        <w:tblLook w:firstRow="1" w:lastRow="1" w:firstColumn="0" w:lastColumn="0" w:noHBand="0" w:noVBand="0" w:val="0020"/>
        <w:tblCaption w:val="Table C: Proportion of Participants by Prior Belief Revision"/>
      </w:tblPr>
      <w:tblGrid>
        <w:gridCol w:w="4369"/>
        <w:gridCol w:w="1092"/>
        <w:gridCol w:w="1183"/>
        <w:gridCol w:w="10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Decreased</w:t>
            </w:r>
          </w:p>
        </w:tc>
        <w:tc>
          <w:tcPr/>
          <w:p>
            <w:pPr>
              <w:pStyle w:val="Compact"/>
            </w:pPr>
            <w:r>
              <w:t xml:space="preserve">Maintained</w:t>
            </w:r>
          </w:p>
        </w:tc>
        <w:tc>
          <w:tcPr/>
          <w:p>
            <w:pPr>
              <w:pStyle w:val="Compact"/>
            </w:pPr>
            <w:r>
              <w:t xml:space="preserve">Increased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Prior Beliefs: Out-group (Stage 2 vs Stage 1)</w:t>
            </w:r>
          </w:p>
        </w:tc>
        <w:tc>
          <w:tcPr/>
          <w:p>
            <w:pPr>
              <w:pStyle w:val="Compact"/>
            </w:pPr>
            <w:r>
              <w:t xml:space="preserve">35.4%</w:t>
            </w:r>
          </w:p>
        </w:tc>
        <w:tc>
          <w:tcPr/>
          <w:p>
            <w:pPr>
              <w:pStyle w:val="Compact"/>
            </w:pPr>
            <w:r>
              <w:t xml:space="preserve">25.0%</w:t>
            </w:r>
          </w:p>
        </w:tc>
        <w:tc>
          <w:tcPr/>
          <w:p>
            <w:pPr>
              <w:pStyle w:val="Compact"/>
            </w:pPr>
            <w:r>
              <w:t xml:space="preserve">39.6%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Prior Beliefs: In-group (Stage 2 vs Stage 1)</w:t>
            </w:r>
          </w:p>
        </w:tc>
        <w:tc>
          <w:tcPr/>
          <w:p>
            <w:pPr>
              <w:pStyle w:val="Compact"/>
            </w:pPr>
            <w:r>
              <w:t xml:space="preserve">33.5%</w:t>
            </w:r>
          </w:p>
        </w:tc>
        <w:tc>
          <w:tcPr/>
          <w:p>
            <w:pPr>
              <w:pStyle w:val="Compact"/>
            </w:pPr>
            <w:r>
              <w:t xml:space="preserve">32.3%</w:t>
            </w:r>
          </w:p>
        </w:tc>
        <w:tc>
          <w:tcPr/>
          <w:p>
            <w:pPr>
              <w:pStyle w:val="Compact"/>
            </w:pPr>
            <w:r>
              <w:t xml:space="preserve">34.1%</w:t>
            </w:r>
          </w:p>
        </w:tc>
      </w:tr>
      <w:tr>
        <w:tc>
          <w:tcPr>
            <w:gridSpan w:val="4"/>
          </w:tcPr>
          <w:p>
            <w:pPr>
              <w:pStyle w:val="Compact"/>
            </w:pPr>
            <w:r>
              <w:t xml:space="preserve">Values represent the percentage of participants who revised their prior beliefs</w:t>
            </w:r>
            <w:r>
              <w:t xml:space="preserve"> </w:t>
            </w:r>
            <w:r>
              <w:t xml:space="preserve">downward (more pessimistic), maintained them, or revised them upward (more</w:t>
            </w:r>
            <w:r>
              <w:t xml:space="preserve"> </w:t>
            </w:r>
            <w:r>
              <w:t xml:space="preserve">optimistic) following identity disclosure in Stage 2.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2026-03-27T14:18:21Z</dcterms:created>
  <dcterms:modified xsi:type="dcterms:W3CDTF">2026-03-27T14:18:21Z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