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B: Cross-Tabulation of Own Compliance Change vs. Observed Compliance Change</w:t>
      </w:r>
    </w:p>
    <w:tbl>
      <w:tblPr>
        <w:tblStyle w:val="Table"/>
        <w:tblW w:type="pct" w:w="4868"/>
        <w:tblLayout w:type="fixed"/>
        <w:tblLook w:firstRow="1" w:lastRow="1" w:firstColumn="0" w:lastColumn="0" w:noHBand="0" w:noVBand="0" w:val="0020"/>
        <w:tblCaption w:val="Table B: Cross-Tabulation of Own Compliance Change vs. Observed Compliance Change"/>
      </w:tblPr>
      <w:tblGrid>
        <w:gridCol w:w="2084"/>
        <w:gridCol w:w="1181"/>
        <w:gridCol w:w="1458"/>
        <w:gridCol w:w="1528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Own Compliance</w:t>
            </w:r>
          </w:p>
        </w:tc>
        <w:tc>
          <w:tcPr/>
          <w:p>
            <w:pPr>
              <w:pStyle w:val="Compact"/>
            </w:pPr>
            <w:r>
              <w:t xml:space="preserve">Observed Decreased</w:t>
            </w:r>
          </w:p>
        </w:tc>
        <w:tc>
          <w:tcPr/>
          <w:p>
            <w:pPr>
              <w:pStyle w:val="Compact"/>
            </w:pPr>
            <w:r>
              <w:t xml:space="preserve">Observed Maintained</w:t>
            </w:r>
          </w:p>
        </w:tc>
        <w:tc>
          <w:tcPr/>
          <w:p>
            <w:pPr>
              <w:pStyle w:val="Compact"/>
            </w:pPr>
            <w:r>
              <w:t xml:space="preserve">Observed Increased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(Unknown out-group)</w:t>
            </w:r>
          </w:p>
        </w:tc>
        <w:tc>
          <w:tcPr/>
          <w:p>
            <w:pPr>
              <w:pStyle w:val="Compact"/>
            </w:pPr>
            <w:r>
              <w:t xml:space="preserve">Decreased</w:t>
            </w:r>
          </w:p>
        </w:tc>
        <w:tc>
          <w:tcPr/>
          <w:p>
            <w:pPr>
              <w:pStyle w:val="Compact"/>
            </w:pPr>
            <w:r>
              <w:t xml:space="preserve">17.7%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17.7%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(Unknown out-group)</w:t>
            </w:r>
          </w:p>
        </w:tc>
        <w:tc>
          <w:tcPr/>
          <w:p>
            <w:pPr>
              <w:pStyle w:val="Compact"/>
            </w:pPr>
            <w:r>
              <w:t xml:space="preserve">Maintained</w:t>
            </w:r>
          </w:p>
        </w:tc>
        <w:tc>
          <w:tcPr/>
          <w:p>
            <w:pPr>
              <w:pStyle w:val="Compact"/>
            </w:pPr>
            <w:r>
              <w:t xml:space="preserve">24.4%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(Unknown out-group)</w:t>
            </w:r>
          </w:p>
        </w:tc>
        <w:tc>
          <w:tcPr/>
          <w:p>
            <w:pPr>
              <w:pStyle w:val="Compact"/>
            </w:pPr>
            <w:r>
              <w:t xml:space="preserve">Increased</w:t>
            </w:r>
          </w:p>
        </w:tc>
        <w:tc>
          <w:tcPr/>
          <w:p>
            <w:pPr>
              <w:pStyle w:val="Compact"/>
            </w:pPr>
            <w:r>
              <w:t xml:space="preserve">17.7%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(Known out-group)</w:t>
            </w:r>
          </w:p>
        </w:tc>
        <w:tc>
          <w:tcPr/>
          <w:p>
            <w:pPr>
              <w:pStyle w:val="Compact"/>
            </w:pPr>
            <w:r>
              <w:t xml:space="preserve">Decreased</w:t>
            </w:r>
          </w:p>
        </w:tc>
        <w:tc>
          <w:tcPr/>
          <w:p>
            <w:pPr>
              <w:pStyle w:val="Compact"/>
            </w:pPr>
            <w:r>
              <w:t xml:space="preserve">22.6%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(Known out-group)</w:t>
            </w:r>
          </w:p>
        </w:tc>
        <w:tc>
          <w:tcPr/>
          <w:p>
            <w:pPr>
              <w:pStyle w:val="Compact"/>
            </w:pPr>
            <w:r>
              <w:t xml:space="preserve">Maintained</w:t>
            </w:r>
          </w:p>
        </w:tc>
        <w:tc>
          <w:tcPr/>
          <w:p>
            <w:pPr>
              <w:pStyle w:val="Compact"/>
            </w:pPr>
            <w:r>
              <w:t xml:space="preserve">19.5%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(Known out-group)</w:t>
            </w:r>
          </w:p>
        </w:tc>
        <w:tc>
          <w:tcPr/>
          <w:p>
            <w:pPr>
              <w:pStyle w:val="Compact"/>
            </w:pPr>
            <w:r>
              <w:t xml:space="preserve">Increased</w:t>
            </w:r>
          </w:p>
        </w:tc>
        <w:tc>
          <w:tcPr/>
          <w:p>
            <w:pPr>
              <w:pStyle w:val="Compact"/>
            </w:pPr>
            <w:r>
              <w:t xml:space="preserve">20.1%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10.4%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Values represent the joint percentage of the sample falling into each combination of behavioral adaptation.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2026-03-27T14:18:21Z</dcterms:created>
  <dcterms:modified xsi:type="dcterms:W3CDTF">2026-03-27T14:18:21Z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