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A: Proportion of Participants by Compliance Adaptation Strategy</w:t>
      </w:r>
    </w:p>
    <w:tbl>
      <w:tblPr>
        <w:tblStyle w:val="Table"/>
        <w:tblW w:type="pct" w:w="4877"/>
        <w:tblLayout w:type="fixed"/>
        <w:tblLook w:firstRow="1" w:lastRow="1" w:firstColumn="0" w:lastColumn="0" w:noHBand="0" w:noVBand="0" w:val="0020"/>
        <w:tblCaption w:val="Table A: Proportion of Participants by Compliance Adaptation Strategy"/>
      </w:tblPr>
      <w:tblGrid>
        <w:gridCol w:w="4106"/>
        <w:gridCol w:w="1173"/>
        <w:gridCol w:w="1271"/>
        <w:gridCol w:w="11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Decreased</w:t>
            </w:r>
          </w:p>
        </w:tc>
        <w:tc>
          <w:tcPr/>
          <w:p>
            <w:pPr>
              <w:pStyle w:val="Compact"/>
            </w:pPr>
            <w:r>
              <w:t xml:space="preserve">Maintained</w:t>
            </w:r>
          </w:p>
        </w:tc>
        <w:tc>
          <w:tcPr/>
          <w:p>
            <w:pPr>
              <w:pStyle w:val="Compact"/>
            </w:pPr>
            <w:r>
              <w:t xml:space="preserve">Increased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 Compliance (Stage 1)</w:t>
            </w:r>
          </w:p>
        </w:tc>
        <w:tc>
          <w:tcPr/>
          <w:p>
            <w:pPr>
              <w:pStyle w:val="Compact"/>
            </w:pPr>
            <w:r>
              <w:t xml:space="preserve">35.4%</w:t>
            </w:r>
          </w:p>
        </w:tc>
        <w:tc>
          <w:tcPr/>
          <w:p>
            <w:pPr>
              <w:pStyle w:val="Compact"/>
            </w:pPr>
            <w:r>
              <w:t xml:space="preserve">37.8%</w:t>
            </w:r>
          </w:p>
        </w:tc>
        <w:tc>
          <w:tcPr/>
          <w:p>
            <w:pPr>
              <w:pStyle w:val="Compact"/>
            </w:pPr>
            <w:r>
              <w:t xml:space="preserve">26.8%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 Compliance (Stage 2)</w:t>
            </w:r>
          </w:p>
        </w:tc>
        <w:tc>
          <w:tcPr/>
          <w:p>
            <w:pPr>
              <w:pStyle w:val="Compact"/>
            </w:pPr>
            <w:r>
              <w:t xml:space="preserve">36.6%</w:t>
            </w:r>
          </w:p>
        </w:tc>
        <w:tc>
          <w:tcPr/>
          <w:p>
            <w:pPr>
              <w:pStyle w:val="Compact"/>
            </w:pPr>
            <w:r>
              <w:t xml:space="preserve">32.3%</w:t>
            </w:r>
          </w:p>
        </w:tc>
        <w:tc>
          <w:tcPr/>
          <w:p>
            <w:pPr>
              <w:pStyle w:val="Compact"/>
            </w:pPr>
            <w:r>
              <w:t xml:space="preserve">31.1%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Observed Compliance of Others (Stage 1)</w:t>
            </w:r>
          </w:p>
        </w:tc>
        <w:tc>
          <w:tcPr/>
          <w:p>
            <w:pPr>
              <w:pStyle w:val="Compact"/>
            </w:pPr>
            <w:r>
              <w:t xml:space="preserve">59.8%</w:t>
            </w:r>
          </w:p>
        </w:tc>
        <w:tc>
          <w:tcPr/>
          <w:p>
            <w:pPr>
              <w:pStyle w:val="Compact"/>
            </w:pPr>
            <w:r>
              <w:t xml:space="preserve">0.6%</w:t>
            </w:r>
          </w:p>
        </w:tc>
        <w:tc>
          <w:tcPr/>
          <w:p>
            <w:pPr>
              <w:pStyle w:val="Compact"/>
            </w:pPr>
            <w:r>
              <w:t xml:space="preserve">39.6%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Observed Compliance of Others (Stage 2)</w:t>
            </w:r>
          </w:p>
        </w:tc>
        <w:tc>
          <w:tcPr/>
          <w:p>
            <w:pPr>
              <w:pStyle w:val="Compact"/>
            </w:pPr>
            <w:r>
              <w:t xml:space="preserve">62.2%</w:t>
            </w:r>
          </w:p>
        </w:tc>
        <w:tc>
          <w:tcPr/>
          <w:p>
            <w:pPr>
              <w:pStyle w:val="Compact"/>
            </w:pPr>
            <w:r>
              <w:t xml:space="preserve">1.2%</w:t>
            </w:r>
          </w:p>
        </w:tc>
        <w:tc>
          <w:tcPr/>
          <w:p>
            <w:pPr>
              <w:pStyle w:val="Compact"/>
            </w:pPr>
            <w:r>
              <w:t xml:space="preserve">36.6%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Values represent the percentage of participants who decreased, maintained,</w:t>
            </w:r>
            <w:r>
              <w:t xml:space="preserve"> </w:t>
            </w:r>
            <w:r>
              <w:t xml:space="preserve">or increased their compliance (Round 8 vs Round 1) or observed compliance</w:t>
            </w:r>
            <w:r>
              <w:t xml:space="preserve"> </w:t>
            </w:r>
            <w:r>
              <w:t xml:space="preserve">(Round 7 vs Round 1).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2026-03-27T13:10:07Z</dcterms:created>
  <dcterms:modified xsi:type="dcterms:W3CDTF">2026-03-27T13:10:07Z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