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Supplementary Table: Mixed Effects Models for Compliance (Bootstrapped SEs)</w:t>
      </w:r>
    </w:p>
    <w:tbl>
      <w:tblPr>
        <w:tblStyle w:val="Table"/>
        <w:tblW w:type="pct" w:w="4937"/>
        <w:tblLayout w:type="fixed"/>
        <w:tblLook w:firstRow="1" w:lastRow="1" w:firstColumn="0" w:lastColumn="0" w:noHBand="0" w:noVBand="0" w:val="0020"/>
        <w:tblCaption w:val="Supplementary Table: Mixed Effects Models for Compliance (Bootstrapped SEs)"/>
      </w:tblPr>
      <w:tblGrid>
        <w:gridCol w:w="2807"/>
        <w:gridCol w:w="2305"/>
        <w:gridCol w:w="270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H2: Shared Area Only</w:t>
            </w:r>
          </w:p>
        </w:tc>
        <w:tc>
          <w:tcPr/>
          <w:p>
            <w:pPr>
              <w:pStyle w:val="Compact"/>
            </w:pPr>
            <w:r>
              <w:t xml:space="preserve">Diff-in-Diff (Full 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0.485***</w:t>
            </w:r>
          </w:p>
        </w:tc>
        <w:tc>
          <w:tcPr/>
          <w:p>
            <w:pPr>
              <w:pStyle w:val="Compact"/>
            </w:pPr>
            <w:r>
              <w:t xml:space="preserve">0.485***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(0.036)</w:t>
            </w:r>
          </w:p>
        </w:tc>
        <w:tc>
          <w:tcPr/>
          <w:p>
            <w:pPr>
              <w:pStyle w:val="Compact"/>
            </w:pPr>
            <w:r>
              <w:t xml:space="preserve">(0.036)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2 (Known Out-group)</w:t>
            </w:r>
          </w:p>
        </w:tc>
        <w:tc>
          <w:tcPr/>
          <w:p>
            <w:pPr>
              <w:pStyle w:val="Compact"/>
            </w:pPr>
            <w:r>
              <w:t xml:space="preserve">-0.057*</w:t>
            </w:r>
          </w:p>
        </w:tc>
        <w:tc>
          <w:tcPr/>
          <w:p>
            <w:pPr>
              <w:pStyle w:val="Compact"/>
            </w:pPr>
            <w:r>
              <w:t xml:space="preserve">-0.057*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(0.024)</w:t>
            </w:r>
          </w:p>
        </w:tc>
        <w:tc>
          <w:tcPr/>
          <w:p>
            <w:pPr>
              <w:pStyle w:val="Compact"/>
            </w:pPr>
            <w:r>
              <w:t xml:space="preserve">(0.025)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2624</w:t>
            </w:r>
          </w:p>
        </w:tc>
        <w:tc>
          <w:tcPr/>
          <w:p>
            <w:pPr>
              <w:pStyle w:val="Compact"/>
            </w:pPr>
            <w:r>
              <w:t xml:space="preserve">5248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Marg.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Cond.</w:t>
            </w:r>
          </w:p>
        </w:tc>
        <w:tc>
          <w:tcPr/>
          <w:p>
            <w:pPr>
              <w:pStyle w:val="Compact"/>
            </w:pPr>
            <w:r>
              <w:t xml:space="preserve">0.595</w:t>
            </w:r>
          </w:p>
        </w:tc>
        <w:tc>
          <w:tcPr/>
          <w:p>
            <w:pPr>
              <w:pStyle w:val="Compact"/>
            </w:pPr>
            <w:r>
              <w:t xml:space="preserve">0.592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Std.Errors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</w:tr>
      <w:tr>
        <w:tc>
          <w:tcPr>
            <w:gridSpan w:val="3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0.05, ** p &lt; 0.01, *** p &lt; 0.001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Standard errors are cluster-bootstrapped (2000 replications) at the group</w:t>
            </w:r>
            <w:r>
              <w:t xml:space="preserve"> </w:t>
            </w:r>
            <w:r>
              <w:t xml:space="preserve">level.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2026-03-26T21:17:17Z</dcterms:created>
  <dcterms:modified xsi:type="dcterms:W3CDTF">2026-03-26T21:17:17Z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