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Summary Statistics</w:t>
      </w:r>
    </w:p>
    <w:tbl>
      <w:tblPr>
        <w:tblStyle w:val="Table"/>
        <w:tblW w:type="pct" w:w="4889"/>
        <w:tblLayout w:type="fixed"/>
        <w:tblLook w:firstRow="1" w:lastRow="0" w:firstColumn="0" w:lastColumn="0" w:noHBand="0" w:noVBand="0" w:val="0020"/>
        <w:tblCaption w:val="Summary Statistics"/>
      </w:tblPr>
      <w:tblGrid>
        <w:gridCol w:w="5192"/>
        <w:gridCol w:w="704"/>
        <w:gridCol w:w="616"/>
        <w:gridCol w:w="12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  <w:r>
              <w:t xml:space="preserve">SD</w:t>
            </w:r>
          </w:p>
        </w:tc>
        <w:tc>
          <w:tcPr/>
          <w:p>
            <w:pPr>
              <w:pStyle w:val="Compac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Compliance (TURF)</w:t>
            </w:r>
          </w:p>
        </w:tc>
        <w:tc>
          <w:tcPr/>
          <w:p>
            <w:pPr>
              <w:pStyle w:val="Compact"/>
            </w:pPr>
            <w:r>
              <w:t xml:space="preserve">0.53</w:t>
            </w:r>
          </w:p>
        </w:tc>
        <w:tc>
          <w:tcPr/>
          <w:p>
            <w:pPr>
              <w:pStyle w:val="Compac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  <w:r>
              <w:t xml:space="preserve">2624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Observed Compliance TURF (t−1)</w:t>
            </w:r>
          </w:p>
        </w:tc>
        <w:tc>
          <w:tcPr/>
          <w:p>
            <w:pPr>
              <w:pStyle w:val="Compact"/>
            </w:pPr>
            <w:r>
              <w:t xml:space="preserve">0.54</w:t>
            </w:r>
          </w:p>
        </w:tc>
        <w:tc>
          <w:tcPr/>
          <w:p>
            <w:pPr>
              <w:pStyle w:val="Compac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  <w:r>
              <w:t xml:space="preserve">2296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Compliance (Shared Area)</w:t>
            </w:r>
          </w:p>
        </w:tc>
        <w:tc>
          <w:tcPr/>
          <w:p>
            <w:pPr>
              <w:pStyle w:val="Compact"/>
            </w:pPr>
            <w:r>
              <w:t xml:space="preserve">0.46</w:t>
            </w:r>
          </w:p>
        </w:tc>
        <w:tc>
          <w:tcPr/>
          <w:p>
            <w:pPr>
              <w:pStyle w:val="Compact"/>
            </w:pPr>
            <w:r>
              <w:t xml:space="preserve">0.39</w:t>
            </w:r>
          </w:p>
        </w:tc>
        <w:tc>
          <w:tcPr/>
          <w:p>
            <w:pPr>
              <w:pStyle w:val="Compact"/>
            </w:pPr>
            <w:r>
              <w:t xml:space="preserve">2624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Observed Compliance Shared Area (t−1)</w:t>
            </w:r>
          </w:p>
        </w:tc>
        <w:tc>
          <w:tcPr/>
          <w:p>
            <w:pPr>
              <w:pStyle w:val="Compact"/>
            </w:pPr>
            <w:r>
              <w:t xml:space="preserve">0.46</w:t>
            </w:r>
          </w:p>
        </w:tc>
        <w:tc>
          <w:tcPr/>
          <w:p>
            <w:pPr>
              <w:pStyle w:val="Compac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  <w:r>
              <w:t xml:space="preserve">2296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Trust in-group (standarized)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  <w:r>
              <w:t xml:space="preserve">164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Conflict in-group (standarized)</w:t>
            </w:r>
          </w:p>
        </w:tc>
        <w:tc>
          <w:tcPr/>
          <w:p>
            <w:pPr>
              <w:pStyle w:val="Compact"/>
            </w:pPr>
            <w:r>
              <w:t xml:space="preserve">-0.00</w:t>
            </w:r>
          </w:p>
        </w:tc>
        <w:tc>
          <w:tcPr/>
          <w:p>
            <w:pPr>
              <w:pStyle w:val="Compac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  <w:r>
              <w:t xml:space="preserve">164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Trust Unknown out-group (standarized)</w:t>
            </w:r>
          </w:p>
        </w:tc>
        <w:tc>
          <w:tcPr/>
          <w:p>
            <w:pPr>
              <w:pStyle w:val="Compact"/>
            </w:pPr>
            <w:r>
              <w:t xml:space="preserve">-0.00</w:t>
            </w:r>
          </w:p>
        </w:tc>
        <w:tc>
          <w:tcPr/>
          <w:p>
            <w:pPr>
              <w:pStyle w:val="Compac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  <w:r>
              <w:t xml:space="preserve">164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Conflict Unknown out-group (standarized)</w:t>
            </w:r>
          </w:p>
        </w:tc>
        <w:tc>
          <w:tcPr/>
          <w:p>
            <w:pPr>
              <w:pStyle w:val="Compact"/>
            </w:pPr>
            <w:r>
              <w:t xml:space="preserve">-0.00</w:t>
            </w:r>
          </w:p>
        </w:tc>
        <w:tc>
          <w:tcPr/>
          <w:p>
            <w:pPr>
              <w:pStyle w:val="Compac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  <w:r>
              <w:t xml:space="preserve">164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Trust Known out-group (standarized)</w:t>
            </w:r>
          </w:p>
        </w:tc>
        <w:tc>
          <w:tcPr/>
          <w:p>
            <w:pPr>
              <w:pStyle w:val="Compact"/>
            </w:pPr>
            <w:r>
              <w:t xml:space="preserve">-0.00</w:t>
            </w:r>
          </w:p>
        </w:tc>
        <w:tc>
          <w:tcPr/>
          <w:p>
            <w:pPr>
              <w:pStyle w:val="Compac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  <w:r>
              <w:t xml:space="preserve">164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Conflict Known out-group (standarized)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  <w:r>
              <w:t xml:space="preserve">164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 Beliefs Shared Area in-group (rounds 1–8)</w:t>
            </w:r>
          </w:p>
        </w:tc>
        <w:tc>
          <w:tcPr/>
          <w:p>
            <w:pPr>
              <w:pStyle w:val="Compac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  <w:r>
              <w:t xml:space="preserve">164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 Beliefs Shared Area Unknown out-group (rounds 1–8)</w:t>
            </w:r>
          </w:p>
        </w:tc>
        <w:tc>
          <w:tcPr/>
          <w:p>
            <w:pPr>
              <w:pStyle w:val="Compact"/>
            </w:pPr>
            <w:r>
              <w:t xml:space="preserve">0.36</w:t>
            </w:r>
          </w:p>
        </w:tc>
        <w:tc>
          <w:tcPr/>
          <w:p>
            <w:pPr>
              <w:pStyle w:val="Compact"/>
            </w:pPr>
            <w:r>
              <w:t xml:space="preserve">0.39</w:t>
            </w:r>
          </w:p>
        </w:tc>
        <w:tc>
          <w:tcPr/>
          <w:p>
            <w:pPr>
              <w:pStyle w:val="Compact"/>
            </w:pPr>
            <w:r>
              <w:t xml:space="preserve">164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 Beliefs Shared Area in-group (rounds 9–16)</w:t>
            </w:r>
          </w:p>
        </w:tc>
        <w:tc>
          <w:tcPr/>
          <w:p>
            <w:pPr>
              <w:pStyle w:val="Compac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  <w:r>
              <w:t xml:space="preserve">0.39</w:t>
            </w:r>
          </w:p>
        </w:tc>
        <w:tc>
          <w:tcPr/>
          <w:p>
            <w:pPr>
              <w:pStyle w:val="Compact"/>
            </w:pPr>
            <w:r>
              <w:t xml:space="preserve">164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 Beliefs Shared Area Known out-group (rounds 9–16)</w:t>
            </w:r>
          </w:p>
        </w:tc>
        <w:tc>
          <w:tcPr/>
          <w:p>
            <w:pPr>
              <w:pStyle w:val="Compact"/>
            </w:pPr>
            <w:r>
              <w:t xml:space="preserve">0.36</w:t>
            </w:r>
          </w:p>
        </w:tc>
        <w:tc>
          <w:tcPr/>
          <w:p>
            <w:pPr>
              <w:pStyle w:val="Compact"/>
            </w:pPr>
            <w:r>
              <w:t xml:space="preserve">0.33</w:t>
            </w:r>
          </w:p>
        </w:tc>
        <w:tc>
          <w:tcPr/>
          <w:p>
            <w:pPr>
              <w:pStyle w:val="Compact"/>
            </w:pPr>
            <w:r>
              <w:t xml:space="preserve">164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Hours in loco fishing</w:t>
            </w:r>
          </w:p>
        </w:tc>
        <w:tc>
          <w:tcPr/>
          <w:p>
            <w:pPr>
              <w:pStyle w:val="Compact"/>
            </w:pPr>
            <w:r>
              <w:t xml:space="preserve">4.22</w:t>
            </w:r>
          </w:p>
        </w:tc>
        <w:tc>
          <w:tcPr/>
          <w:p>
            <w:pPr>
              <w:pStyle w:val="Compact"/>
            </w:pPr>
            <w:r>
              <w:t xml:space="preserve">2.34</w:t>
            </w:r>
          </w:p>
        </w:tc>
        <w:tc>
          <w:tcPr/>
          <w:p>
            <w:pPr>
              <w:pStyle w:val="Compact"/>
            </w:pPr>
            <w:r>
              <w:t xml:space="preserve">164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Level of education: No formal studies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1 (0.6%)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Level of education: Incomplete Primary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47 (28.7%)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Level of education: Complete Primary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20 (12.2%)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Level of education: Incomplete High School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45 (27.4%)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Level of education: Complete High School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51 (31.1%)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Held leadership role: No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95 (57.9%)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Held leadership role: Yes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69 (42.1%)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Sex: Male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144 (87.8%)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Sex: Female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  <w:r>
              <w:t xml:space="preserve">20 (12.2%)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2025-10-06T15:27:45Z</dcterms:created>
  <dcterms:modified xsi:type="dcterms:W3CDTF">2025-10-06T15:27:45Z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