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Tobit Path Models for Compliance and Beliefs in Round 8</w:t>
      </w:r>
    </w:p>
    <w:tbl>
      <w:tblPr>
        <w:tblStyle w:val="Table"/>
        <w:tblW w:type="pct" w:w="4883"/>
        <w:tblLayout w:type="fixed"/>
        <w:tblLook w:firstRow="1" w:lastRow="1" w:firstColumn="0" w:lastColumn="0" w:noHBand="0" w:noVBand="0" w:val="0020"/>
        <w:tblCaption w:val="Tobit Path Models for Compliance and Beliefs in Round 8"/>
      </w:tblPr>
      <w:tblGrid>
        <w:gridCol w:w="1189"/>
        <w:gridCol w:w="1152"/>
        <w:gridCol w:w="1189"/>
        <w:gridCol w:w="929"/>
        <w:gridCol w:w="1152"/>
        <w:gridCol w:w="1189"/>
        <w:gridCol w:w="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Stage 1 DV: Beliefs In-group</w:t>
            </w:r>
          </w:p>
        </w:tc>
        <w:tc>
          <w:tcPr/>
          <w:p>
            <w:pPr>
              <w:pStyle w:val="Compact"/>
            </w:pPr>
            <w:r>
              <w:t xml:space="preserve">Stage 1 DV: Beliefs Out-group</w:t>
            </w:r>
          </w:p>
        </w:tc>
        <w:tc>
          <w:tcPr/>
          <w:p>
            <w:pPr>
              <w:pStyle w:val="Compact"/>
            </w:pPr>
            <w:r>
              <w:t xml:space="preserve">Stage 1 DV: Compliance</w:t>
            </w:r>
          </w:p>
        </w:tc>
        <w:tc>
          <w:tcPr/>
          <w:p>
            <w:pPr>
              <w:pStyle w:val="Compact"/>
            </w:pPr>
            <w:r>
              <w:t xml:space="preserve">Stage 2 DV: Beliefs In-group</w:t>
            </w:r>
          </w:p>
        </w:tc>
        <w:tc>
          <w:tcPr/>
          <w:p>
            <w:pPr>
              <w:pStyle w:val="Compact"/>
            </w:pPr>
            <w:r>
              <w:t xml:space="preserve">Stage 2 DV: Beliefs Out-group</w:t>
            </w:r>
          </w:p>
        </w:tc>
        <w:tc>
          <w:tcPr/>
          <w:p>
            <w:pPr>
              <w:pStyle w:val="Compact"/>
            </w:pPr>
            <w:r>
              <w:t xml:space="preserve">Stage 2 DV: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Out-group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0.195** (0.072)</w:t>
            </w:r>
          </w:p>
        </w:tc>
        <w:tc>
          <w:tcPr/>
          <w:p>
            <w:pPr>
              <w:pStyle w:val="Compact"/>
            </w:pPr>
            <w:r>
              <w:t xml:space="preserve">0.031 (0.057)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0.136*** (0.040)</w:t>
            </w:r>
          </w:p>
        </w:tc>
        <w:tc>
          <w:tcPr/>
          <w:p>
            <w:pPr>
              <w:pStyle w:val="Compact"/>
            </w:pPr>
            <w:r>
              <w:t xml:space="preserve">-0.032 (0.049)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In-group</w:t>
            </w:r>
          </w:p>
        </w:tc>
        <w:tc>
          <w:tcPr/>
          <w:p>
            <w:pPr>
              <w:pStyle w:val="Compact"/>
            </w:pPr>
            <w:r>
              <w:t xml:space="preserve">0.112 (0.090)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0.043 (0.057)</w:t>
            </w:r>
          </w:p>
        </w:tc>
        <w:tc>
          <w:tcPr/>
          <w:p>
            <w:pPr>
              <w:pStyle w:val="Compact"/>
            </w:pPr>
            <w:r>
              <w:t xml:space="preserve">0.067 (0.055)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0.020 (0.048)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 Out-group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-0.088 (0.074)</w:t>
            </w:r>
          </w:p>
        </w:tc>
        <w:tc>
          <w:tcPr/>
          <w:p>
            <w:pPr>
              <w:pStyle w:val="Compact"/>
            </w:pPr>
            <w:r>
              <w:t xml:space="preserve">0.061 (0.059)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-0.025 (0.039)</w:t>
            </w:r>
          </w:p>
        </w:tc>
        <w:tc>
          <w:tcPr/>
          <w:p>
            <w:pPr>
              <w:pStyle w:val="Compact"/>
            </w:pPr>
            <w:r>
              <w:t xml:space="preserve">0.060 (0.048)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 In-group</w:t>
            </w:r>
          </w:p>
        </w:tc>
        <w:tc>
          <w:tcPr/>
          <w:p>
            <w:pPr>
              <w:pStyle w:val="Compact"/>
            </w:pPr>
            <w:r>
              <w:t xml:space="preserve">-0.262** (0.095)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0.076 (0.061)</w:t>
            </w:r>
          </w:p>
        </w:tc>
        <w:tc>
          <w:tcPr/>
          <w:p>
            <w:pPr>
              <w:pStyle w:val="Compact"/>
            </w:pPr>
            <w:r>
              <w:t xml:space="preserve">-0.046 (0.055)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-0.020 (0.048)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 Beliefs Out-group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-0.045 (0.189)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0.603** (0.187)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 Beliefs In-group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0.624*** (0.174)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0.433** (0.154)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Compliance (round 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0.431* (0.205)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0.425* (0.200)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0.501*** (0.086)</w:t>
            </w:r>
          </w:p>
        </w:tc>
        <w:tc>
          <w:tcPr/>
          <w:p>
            <w:pPr>
              <w:pStyle w:val="Compact"/>
            </w:pPr>
            <w:r>
              <w:t xml:space="preserve">0.158* (0.074)</w:t>
            </w:r>
          </w:p>
        </w:tc>
        <w:tc>
          <w:tcPr/>
          <w:p>
            <w:pPr>
              <w:pStyle w:val="Compact"/>
            </w:pPr>
            <w:r>
              <w:t xml:space="preserve">-0.088 (0.121)</w:t>
            </w:r>
          </w:p>
        </w:tc>
        <w:tc>
          <w:tcPr/>
          <w:p>
            <w:pPr>
              <w:pStyle w:val="Compact"/>
            </w:pPr>
            <w:r>
              <w:t xml:space="preserve">0.538*** (0.054)</w:t>
            </w:r>
          </w:p>
        </w:tc>
        <w:tc>
          <w:tcPr/>
          <w:p>
            <w:pPr>
              <w:pStyle w:val="Compact"/>
            </w:pPr>
            <w:r>
              <w:t xml:space="preserve">0.285*** (0.040)</w:t>
            </w:r>
          </w:p>
        </w:tc>
        <w:tc>
          <w:tcPr/>
          <w:p>
            <w:pPr>
              <w:pStyle w:val="Compact"/>
            </w:pPr>
            <w:r>
              <w:t xml:space="preserve">-0.278* (0.111)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Log(scale)</w:t>
            </w:r>
          </w:p>
        </w:tc>
        <w:tc>
          <w:tcPr/>
          <w:p>
            <w:pPr>
              <w:pStyle w:val="Compact"/>
            </w:pPr>
            <w:r>
              <w:t xml:space="preserve">-0.002 (0.111)</w:t>
            </w:r>
          </w:p>
        </w:tc>
        <w:tc>
          <w:tcPr/>
          <w:p>
            <w:pPr>
              <w:pStyle w:val="Compact"/>
            </w:pPr>
            <w:r>
              <w:t xml:space="preserve">-0.209* (0.103)</w:t>
            </w:r>
          </w:p>
        </w:tc>
        <w:tc>
          <w:tcPr/>
          <w:p>
            <w:pPr>
              <w:pStyle w:val="Compact"/>
            </w:pPr>
            <w:r>
              <w:t xml:space="preserve">-0.444*** (0.088)</w:t>
            </w:r>
          </w:p>
        </w:tc>
        <w:tc>
          <w:tcPr/>
          <w:p>
            <w:pPr>
              <w:pStyle w:val="Compact"/>
            </w:pPr>
            <w:r>
              <w:t xml:space="preserve">-0.430*** (0.086)</w:t>
            </w:r>
          </w:p>
        </w:tc>
        <w:tc>
          <w:tcPr/>
          <w:p>
            <w:pPr>
              <w:pStyle w:val="Compact"/>
            </w:pPr>
            <w:r>
              <w:t xml:space="preserve">-0.731*** (0.078)</w:t>
            </w:r>
          </w:p>
        </w:tc>
        <w:tc>
          <w:tcPr/>
          <w:p>
            <w:pPr>
              <w:pStyle w:val="Compact"/>
            </w:pPr>
            <w:r>
              <w:t xml:space="preserve">-0.589*** (0.087)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Likelihood</w:t>
            </w:r>
          </w:p>
        </w:tc>
        <w:tc>
          <w:tcPr/>
          <w:p>
            <w:pPr>
              <w:pStyle w:val="Compact"/>
            </w:pPr>
            <w:r>
              <w:t xml:space="preserve">-487.767</w:t>
            </w:r>
          </w:p>
        </w:tc>
        <w:tc>
          <w:tcPr/>
          <w:p>
            <w:pPr>
              <w:pStyle w:val="Compact"/>
            </w:pPr>
            <w:r>
              <w:t xml:space="preserve">-487.767</w:t>
            </w:r>
          </w:p>
        </w:tc>
        <w:tc>
          <w:tcPr/>
          <w:p>
            <w:pPr>
              <w:pStyle w:val="Compact"/>
            </w:pPr>
            <w:r>
              <w:t xml:space="preserve">-487.767</w:t>
            </w:r>
          </w:p>
        </w:tc>
        <w:tc>
          <w:tcPr/>
          <w:p>
            <w:pPr>
              <w:pStyle w:val="Compact"/>
            </w:pPr>
            <w:r>
              <w:t xml:space="preserve">-427.700</w:t>
            </w:r>
          </w:p>
        </w:tc>
        <w:tc>
          <w:tcPr/>
          <w:p>
            <w:pPr>
              <w:pStyle w:val="Compact"/>
            </w:pPr>
            <w:r>
              <w:t xml:space="preserve">-427.700</w:t>
            </w:r>
          </w:p>
        </w:tc>
        <w:tc>
          <w:tcPr/>
          <w:p>
            <w:pPr>
              <w:pStyle w:val="Compact"/>
            </w:pPr>
            <w:r>
              <w:t xml:space="preserve">-427.700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1009.534</w:t>
            </w:r>
          </w:p>
        </w:tc>
        <w:tc>
          <w:tcPr/>
          <w:p>
            <w:pPr>
              <w:pStyle w:val="Compact"/>
            </w:pPr>
            <w:r>
              <w:t xml:space="preserve">1009.534</w:t>
            </w:r>
          </w:p>
        </w:tc>
        <w:tc>
          <w:tcPr/>
          <w:p>
            <w:pPr>
              <w:pStyle w:val="Compact"/>
            </w:pPr>
            <w:r>
              <w:t xml:space="preserve">1009.534</w:t>
            </w:r>
          </w:p>
        </w:tc>
        <w:tc>
          <w:tcPr/>
          <w:p>
            <w:pPr>
              <w:pStyle w:val="Compact"/>
            </w:pPr>
            <w:r>
              <w:t xml:space="preserve">889.400</w:t>
            </w:r>
          </w:p>
        </w:tc>
        <w:tc>
          <w:tcPr/>
          <w:p>
            <w:pPr>
              <w:pStyle w:val="Compact"/>
            </w:pPr>
            <w:r>
              <w:t xml:space="preserve">889.400</w:t>
            </w:r>
          </w:p>
        </w:tc>
        <w:tc>
          <w:tcPr/>
          <w:p>
            <w:pPr>
              <w:pStyle w:val="Compact"/>
            </w:pPr>
            <w:r>
              <w:t xml:space="preserve">889.400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1062.232</w:t>
            </w:r>
          </w:p>
        </w:tc>
        <w:tc>
          <w:tcPr/>
          <w:p>
            <w:pPr>
              <w:pStyle w:val="Compact"/>
            </w:pPr>
            <w:r>
              <w:t xml:space="preserve">1062.232</w:t>
            </w:r>
          </w:p>
        </w:tc>
        <w:tc>
          <w:tcPr/>
          <w:p>
            <w:pPr>
              <w:pStyle w:val="Compact"/>
            </w:pPr>
            <w:r>
              <w:t xml:space="preserve">1062.232</w:t>
            </w:r>
          </w:p>
        </w:tc>
        <w:tc>
          <w:tcPr/>
          <w:p>
            <w:pPr>
              <w:pStyle w:val="Compact"/>
            </w:pPr>
            <w:r>
              <w:t xml:space="preserve">942.098</w:t>
            </w:r>
          </w:p>
        </w:tc>
        <w:tc>
          <w:tcPr/>
          <w:p>
            <w:pPr>
              <w:pStyle w:val="Compact"/>
            </w:pPr>
            <w:r>
              <w:t xml:space="preserve">942.098</w:t>
            </w:r>
          </w:p>
        </w:tc>
        <w:tc>
          <w:tcPr/>
          <w:p>
            <w:pPr>
              <w:pStyle w:val="Compact"/>
            </w:pPr>
            <w:r>
              <w:t xml:space="preserve">942.098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Pseudo R-squared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† p &lt; 0.1, * p &lt; 0.05, ** p &lt; 0.01, *** p &lt; 0.001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Models are Tobit regressions constrained between 0 and 1. Standard errors are classical, and Pseudo R-squared is McFadden’s.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2026-03-23T18:00:21Z</dcterms:created>
  <dcterms:modified xsi:type="dcterms:W3CDTF">2026-03-23T18:00:21Z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