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ableCaption"/>
      </w:pPr>
      <w:r>
        <w:t xml:space="preserve">Tobit Path Models for Compliance and Beliefs in Round 8</w:t>
      </w:r>
    </w:p>
    <w:tbl>
      <w:tblPr>
        <w:tblStyle w:val="Table"/>
        <w:tblW w:type="pct" w:w="4883"/>
        <w:tblLayout w:type="fixed"/>
        <w:tblLook w:firstRow="1" w:lastRow="1" w:firstColumn="0" w:lastColumn="0" w:noHBand="0" w:noVBand="0" w:val="0020"/>
        <w:tblCaption w:val="Tobit Path Models for Compliance and Beliefs in Round 8"/>
      </w:tblPr>
      <w:tblGrid>
        <w:gridCol w:w="1189"/>
        <w:gridCol w:w="1152"/>
        <w:gridCol w:w="1189"/>
        <w:gridCol w:w="929"/>
        <w:gridCol w:w="1152"/>
        <w:gridCol w:w="1189"/>
        <w:gridCol w:w="92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Predictor</w:t>
            </w:r>
          </w:p>
        </w:tc>
        <w:tc>
          <w:tcPr/>
          <w:p>
            <w:pPr>
              <w:pStyle w:val="Compact"/>
            </w:pPr>
            <w:r>
              <w:t xml:space="preserve">Stage 1 DV: Beliefs In-group</w:t>
            </w:r>
          </w:p>
        </w:tc>
        <w:tc>
          <w:tcPr/>
          <w:p>
            <w:pPr>
              <w:pStyle w:val="Compact"/>
            </w:pPr>
            <w:r>
              <w:t xml:space="preserve">Stage 1 DV: Beliefs Out-group</w:t>
            </w:r>
          </w:p>
        </w:tc>
        <w:tc>
          <w:tcPr/>
          <w:p>
            <w:pPr>
              <w:pStyle w:val="Compact"/>
            </w:pPr>
            <w:r>
              <w:t xml:space="preserve">Stage 1 DV: Compliance</w:t>
            </w:r>
          </w:p>
        </w:tc>
        <w:tc>
          <w:tcPr/>
          <w:p>
            <w:pPr>
              <w:pStyle w:val="Compact"/>
            </w:pPr>
            <w:r>
              <w:t xml:space="preserve">Stage 2 DV: Beliefs In-group</w:t>
            </w:r>
          </w:p>
        </w:tc>
        <w:tc>
          <w:tcPr/>
          <w:p>
            <w:pPr>
              <w:pStyle w:val="Compact"/>
            </w:pPr>
            <w:r>
              <w:t xml:space="preserve">Stage 2 DV: Beliefs Out-group</w:t>
            </w:r>
          </w:p>
        </w:tc>
        <w:tc>
          <w:tcPr/>
          <w:p>
            <w:pPr>
              <w:pStyle w:val="Compact"/>
            </w:pPr>
            <w:r>
              <w:t xml:space="preserve">Stage 2 DV: Compliance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Trust Out-group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0.195** (0.063)</w:t>
            </w:r>
          </w:p>
        </w:tc>
        <w:tc>
          <w:tcPr/>
          <w:p>
            <w:pPr>
              <w:pStyle w:val="Compact"/>
            </w:pPr>
            <w:r>
              <w:t xml:space="preserve">0.031 (0.057)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0.136** (0.046)</w:t>
            </w:r>
          </w:p>
        </w:tc>
        <w:tc>
          <w:tcPr/>
          <w:p>
            <w:pPr>
              <w:pStyle w:val="Compact"/>
            </w:pPr>
            <w:r>
              <w:t xml:space="preserve">-0.032 (0.025)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Trust In-group</w:t>
            </w:r>
          </w:p>
        </w:tc>
        <w:tc>
          <w:tcPr/>
          <w:p>
            <w:pPr>
              <w:pStyle w:val="Compact"/>
            </w:pPr>
            <w:r>
              <w:t xml:space="preserve">0.112 (0.109)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0.043 (0.054)</w:t>
            </w:r>
          </w:p>
        </w:tc>
        <w:tc>
          <w:tcPr/>
          <w:p>
            <w:pPr>
              <w:pStyle w:val="Compact"/>
            </w:pPr>
            <w:r>
              <w:t xml:space="preserve">0.067 (0.062)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0.020 (0.034)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Conflict Out-group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-0.088 (0.074)</w:t>
            </w:r>
          </w:p>
        </w:tc>
        <w:tc>
          <w:tcPr/>
          <w:p>
            <w:pPr>
              <w:pStyle w:val="Compact"/>
            </w:pPr>
            <w:r>
              <w:t xml:space="preserve">0.061 (0.059)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-0.025 (0.036)</w:t>
            </w:r>
          </w:p>
        </w:tc>
        <w:tc>
          <w:tcPr/>
          <w:p>
            <w:pPr>
              <w:pStyle w:val="Compact"/>
            </w:pPr>
            <w:r>
              <w:t xml:space="preserve">0.060 (0.054)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Conflict In-group</w:t>
            </w:r>
          </w:p>
        </w:tc>
        <w:tc>
          <w:tcPr/>
          <w:p>
            <w:pPr>
              <w:pStyle w:val="Compact"/>
            </w:pPr>
            <w:r>
              <w:t xml:space="preserve">-0.262*** (0.070)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0.076 (0.048)</w:t>
            </w:r>
          </w:p>
        </w:tc>
        <w:tc>
          <w:tcPr/>
          <w:p>
            <w:pPr>
              <w:pStyle w:val="Compact"/>
            </w:pPr>
            <w:r>
              <w:t xml:space="preserve">-0.046 (0.041)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-0.020 (0.049)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Prior Beliefs Out-group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-0.045 (0.159)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0.603* (0.267)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Prior Beliefs In-group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0.624*** (0.133)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0.433*** (0.122)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Observed Compliance (round 7)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0.431† (0.228)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0.425 (0.321)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Constant</w:t>
            </w:r>
          </w:p>
        </w:tc>
        <w:tc>
          <w:tcPr/>
          <w:p>
            <w:pPr>
              <w:pStyle w:val="Compact"/>
            </w:pPr>
            <w:r>
              <w:t xml:space="preserve">0.501*** (0.123)</w:t>
            </w:r>
          </w:p>
        </w:tc>
        <w:tc>
          <w:tcPr/>
          <w:p>
            <w:pPr>
              <w:pStyle w:val="Compact"/>
            </w:pPr>
            <w:r>
              <w:t xml:space="preserve">0.158* (0.074)</w:t>
            </w:r>
          </w:p>
        </w:tc>
        <w:tc>
          <w:tcPr/>
          <w:p>
            <w:pPr>
              <w:pStyle w:val="Compact"/>
            </w:pPr>
            <w:r>
              <w:t xml:space="preserve">-0.088 (0.112)</w:t>
            </w:r>
          </w:p>
        </w:tc>
        <w:tc>
          <w:tcPr/>
          <w:p>
            <w:pPr>
              <w:pStyle w:val="Compact"/>
            </w:pPr>
            <w:r>
              <w:t xml:space="preserve">0.538*** (0.064)</w:t>
            </w:r>
          </w:p>
        </w:tc>
        <w:tc>
          <w:tcPr/>
          <w:p>
            <w:pPr>
              <w:pStyle w:val="Compact"/>
            </w:pPr>
            <w:r>
              <w:t xml:space="preserve">0.285*** (0.064)</w:t>
            </w:r>
          </w:p>
        </w:tc>
        <w:tc>
          <w:tcPr/>
          <w:p>
            <w:pPr>
              <w:pStyle w:val="Compact"/>
            </w:pPr>
            <w:r>
              <w:t xml:space="preserve">-0.278* (0.117)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Log(scale)</w:t>
            </w:r>
          </w:p>
        </w:tc>
        <w:tc>
          <w:tcPr/>
          <w:p>
            <w:pPr>
              <w:pStyle w:val="Compact"/>
            </w:pPr>
            <w:r>
              <w:t xml:space="preserve">-0.002 (0.114)</w:t>
            </w:r>
          </w:p>
        </w:tc>
        <w:tc>
          <w:tcPr/>
          <w:p>
            <w:pPr>
              <w:pStyle w:val="Compact"/>
            </w:pPr>
            <w:r>
              <w:t xml:space="preserve">-0.209* (0.098)</w:t>
            </w:r>
          </w:p>
        </w:tc>
        <w:tc>
          <w:tcPr/>
          <w:p>
            <w:pPr>
              <w:pStyle w:val="Compact"/>
            </w:pPr>
            <w:r>
              <w:t xml:space="preserve">-0.444*** (0.098)</w:t>
            </w:r>
          </w:p>
        </w:tc>
        <w:tc>
          <w:tcPr/>
          <w:p>
            <w:pPr>
              <w:pStyle w:val="Compact"/>
            </w:pPr>
            <w:r>
              <w:t xml:space="preserve">-0.430*** (0.089)</w:t>
            </w:r>
          </w:p>
        </w:tc>
        <w:tc>
          <w:tcPr/>
          <w:p>
            <w:pPr>
              <w:pStyle w:val="Compact"/>
            </w:pPr>
            <w:r>
              <w:t xml:space="preserve">-0.731*** (0.086)</w:t>
            </w:r>
          </w:p>
        </w:tc>
        <w:tc>
          <w:tcPr/>
          <w:p>
            <w:pPr>
              <w:pStyle w:val="Compact"/>
            </w:pPr>
            <w:r>
              <w:t xml:space="preserve">-0.589*** (0.103)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Num.Obs.</w:t>
            </w:r>
          </w:p>
        </w:tc>
        <w:tc>
          <w:tcPr/>
          <w:p>
            <w:pPr>
              <w:pStyle w:val="Compact"/>
            </w:pPr>
            <w:r>
              <w:t xml:space="preserve">164</w:t>
            </w:r>
          </w:p>
        </w:tc>
        <w:tc>
          <w:tcPr/>
          <w:p>
            <w:pPr>
              <w:pStyle w:val="Compact"/>
            </w:pPr>
            <w:r>
              <w:t xml:space="preserve">164</w:t>
            </w:r>
          </w:p>
        </w:tc>
        <w:tc>
          <w:tcPr/>
          <w:p>
            <w:pPr>
              <w:pStyle w:val="Compact"/>
            </w:pPr>
            <w:r>
              <w:t xml:space="preserve">164</w:t>
            </w:r>
          </w:p>
        </w:tc>
        <w:tc>
          <w:tcPr/>
          <w:p>
            <w:pPr>
              <w:pStyle w:val="Compact"/>
            </w:pPr>
            <w:r>
              <w:t xml:space="preserve">164</w:t>
            </w:r>
          </w:p>
        </w:tc>
        <w:tc>
          <w:tcPr/>
          <w:p>
            <w:pPr>
              <w:pStyle w:val="Compact"/>
            </w:pPr>
            <w:r>
              <w:t xml:space="preserve">164</w:t>
            </w:r>
          </w:p>
        </w:tc>
        <w:tc>
          <w:tcPr/>
          <w:p>
            <w:pPr>
              <w:pStyle w:val="Compact"/>
            </w:pPr>
            <w:r>
              <w:t xml:space="preserve">164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 Likelihood</w:t>
            </w:r>
          </w:p>
        </w:tc>
        <w:tc>
          <w:tcPr/>
          <w:p>
            <w:pPr>
              <w:pStyle w:val="Compact"/>
            </w:pPr>
            <w:r>
              <w:t xml:space="preserve">-487.767</w:t>
            </w:r>
          </w:p>
        </w:tc>
        <w:tc>
          <w:tcPr/>
          <w:p>
            <w:pPr>
              <w:pStyle w:val="Compact"/>
            </w:pPr>
            <w:r>
              <w:t xml:space="preserve">-487.767</w:t>
            </w:r>
          </w:p>
        </w:tc>
        <w:tc>
          <w:tcPr/>
          <w:p>
            <w:pPr>
              <w:pStyle w:val="Compact"/>
            </w:pPr>
            <w:r>
              <w:t xml:space="preserve">-487.767</w:t>
            </w:r>
          </w:p>
        </w:tc>
        <w:tc>
          <w:tcPr/>
          <w:p>
            <w:pPr>
              <w:pStyle w:val="Compact"/>
            </w:pPr>
            <w:r>
              <w:t xml:space="preserve">-427.700</w:t>
            </w:r>
          </w:p>
        </w:tc>
        <w:tc>
          <w:tcPr/>
          <w:p>
            <w:pPr>
              <w:pStyle w:val="Compact"/>
            </w:pPr>
            <w:r>
              <w:t xml:space="preserve">-427.700</w:t>
            </w:r>
          </w:p>
        </w:tc>
        <w:tc>
          <w:tcPr/>
          <w:p>
            <w:pPr>
              <w:pStyle w:val="Compact"/>
            </w:pPr>
            <w:r>
              <w:t xml:space="preserve">-427.700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AIC</w:t>
            </w:r>
          </w:p>
        </w:tc>
        <w:tc>
          <w:tcPr/>
          <w:p>
            <w:pPr>
              <w:pStyle w:val="Compact"/>
            </w:pPr>
            <w:r>
              <w:t xml:space="preserve">1003.534</w:t>
            </w:r>
          </w:p>
        </w:tc>
        <w:tc>
          <w:tcPr/>
          <w:p>
            <w:pPr>
              <w:pStyle w:val="Compact"/>
            </w:pPr>
            <w:r>
              <w:t xml:space="preserve">1003.534</w:t>
            </w:r>
          </w:p>
        </w:tc>
        <w:tc>
          <w:tcPr/>
          <w:p>
            <w:pPr>
              <w:pStyle w:val="Compact"/>
            </w:pPr>
            <w:r>
              <w:t xml:space="preserve">1003.534</w:t>
            </w:r>
          </w:p>
        </w:tc>
        <w:tc>
          <w:tcPr/>
          <w:p>
            <w:pPr>
              <w:pStyle w:val="Compact"/>
            </w:pPr>
            <w:r>
              <w:t xml:space="preserve">883.400</w:t>
            </w:r>
          </w:p>
        </w:tc>
        <w:tc>
          <w:tcPr/>
          <w:p>
            <w:pPr>
              <w:pStyle w:val="Compact"/>
            </w:pPr>
            <w:r>
              <w:t xml:space="preserve">883.400</w:t>
            </w:r>
          </w:p>
        </w:tc>
        <w:tc>
          <w:tcPr/>
          <w:p>
            <w:pPr>
              <w:pStyle w:val="Compact"/>
            </w:pPr>
            <w:r>
              <w:t xml:space="preserve">883.400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BIC</w:t>
            </w:r>
          </w:p>
        </w:tc>
        <w:tc>
          <w:tcPr/>
          <w:p>
            <w:pPr>
              <w:pStyle w:val="Compact"/>
            </w:pPr>
            <w:r>
              <w:t xml:space="preserve">1046.932</w:t>
            </w:r>
          </w:p>
        </w:tc>
        <w:tc>
          <w:tcPr/>
          <w:p>
            <w:pPr>
              <w:pStyle w:val="Compact"/>
            </w:pPr>
            <w:r>
              <w:t xml:space="preserve">1046.932</w:t>
            </w:r>
          </w:p>
        </w:tc>
        <w:tc>
          <w:tcPr/>
          <w:p>
            <w:pPr>
              <w:pStyle w:val="Compact"/>
            </w:pPr>
            <w:r>
              <w:t xml:space="preserve">1046.932</w:t>
            </w:r>
          </w:p>
        </w:tc>
        <w:tc>
          <w:tcPr/>
          <w:p>
            <w:pPr>
              <w:pStyle w:val="Compact"/>
            </w:pPr>
            <w:r>
              <w:t xml:space="preserve">926.798</w:t>
            </w:r>
          </w:p>
        </w:tc>
        <w:tc>
          <w:tcPr/>
          <w:p>
            <w:pPr>
              <w:pStyle w:val="Compact"/>
            </w:pPr>
            <w:r>
              <w:t xml:space="preserve">926.798</w:t>
            </w:r>
          </w:p>
        </w:tc>
        <w:tc>
          <w:tcPr/>
          <w:p>
            <w:pPr>
              <w:pStyle w:val="Compact"/>
            </w:pPr>
            <w:r>
              <w:t xml:space="preserve">926.798</w:t>
            </w:r>
          </w:p>
        </w:tc>
      </w:tr>
      <w:tr>
        <w:tc>
          <w:tcPr/>
          <w:p>
            <w:pPr>
              <w:pStyle w:val="Compact"/>
            </w:pPr>
            <w:r>
              <w:t xml:space="preserve">Pseudo R-squared</w:t>
            </w:r>
          </w:p>
        </w:tc>
        <w:tc>
          <w:tcPr/>
          <w:p>
            <w:pPr>
              <w:pStyle w:val="Compact"/>
            </w:pPr>
            <w:r>
              <w:t xml:space="preserve">0.031</w:t>
            </w:r>
          </w:p>
        </w:tc>
        <w:tc>
          <w:tcPr/>
          <w:p>
            <w:pPr>
              <w:pStyle w:val="Compact"/>
            </w:pPr>
            <w:r>
              <w:t xml:space="preserve">0.030</w:t>
            </w:r>
          </w:p>
        </w:tc>
        <w:tc>
          <w:tcPr/>
          <w:p>
            <w:pPr>
              <w:pStyle w:val="Compact"/>
            </w:pPr>
            <w:r>
              <w:t xml:space="preserve">0.084</w:t>
            </w:r>
          </w:p>
        </w:tc>
        <w:tc>
          <w:tcPr/>
          <w:p>
            <w:pPr>
              <w:pStyle w:val="Compact"/>
            </w:pPr>
            <w:r>
              <w:t xml:space="preserve">0.008</w:t>
            </w:r>
          </w:p>
        </w:tc>
        <w:tc>
          <w:tcPr/>
          <w:p>
            <w:pPr>
              <w:pStyle w:val="Compact"/>
            </w:pPr>
            <w:r>
              <w:t xml:space="preserve">0.046</w:t>
            </w:r>
          </w:p>
        </w:tc>
        <w:tc>
          <w:tcPr/>
          <w:p>
            <w:pPr>
              <w:pStyle w:val="Compact"/>
            </w:pPr>
            <w:r>
              <w:t xml:space="preserve">0.160</w:t>
            </w:r>
          </w:p>
        </w:tc>
      </w:tr>
      <w:tr>
        <w:tc>
          <w:tcPr>
            <w:gridSpan w:val="7"/>
          </w:tcPr>
          <w:p>
            <w:pPr>
              <w:pStyle w:val="Compact"/>
            </w:pPr>
            <w:r>
              <w:t xml:space="preserve">† p &lt; 0.1, * p &lt; 0.05, ** p &lt; 0.01, *** p &lt; 0.001</w:t>
            </w:r>
          </w:p>
        </w:tc>
      </w:tr>
      <w:tr>
        <w:tc>
          <w:tcPr>
            <w:gridSpan w:val="7"/>
          </w:tcPr>
          <w:p>
            <w:pPr>
              <w:pStyle w:val="Compact"/>
            </w:pPr>
            <w:r>
              <w:t xml:space="preserve">Models are Tobit regressions constrained between 0 and 1. Standard errors are cluster-bootstrapped (B=1000) at the group level, and Pseudo R-squared is McFadden’s.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2026-03-23T19:07:56Z</dcterms:created>
  <dcterms:modified xsi:type="dcterms:W3CDTF">2026-03-23T19:07:56Z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