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Экран “Список инвест идей”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отображения списка инвест идей, необходимо вызвать процедуру invest_ideas__get, при этом все параметры передаются NULL. Параметры для передачи процедуре описаны в procedure.sql, а также input.json. На выходе процедуры будет таблица с полями, описание полей можно увидеть в procedure.sql, а также output.json.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экране отображается лента из карточек. Каждая карточка отображает “Название идеи”, “планируемую прибыль” в %, “горизонт планирования” как дату. Расположение этих элементов отображено на эскизе ниже.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24150" cy="5000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в верхнем правом углу находится кнопка для открытия списка фильтров (зеленый круг с полосками). При его нажатии открывается окно с фильтрами: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по названию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по содержанию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по источнику идеи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Ползунок-диапазон для планируемой прибыльности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Снизу кнопка “Поиск” для фильтрации. Вот эскиз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14625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При заполнении полей, при нажатии кнопки поиск, вызывается процедура с параметрами: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первый параметр необходимо передать данные из поля “поиск по названию”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 второй - данные из поля “поиск по содержанию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третий - данные из поля “источник идеи”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четвертый - количество процентов нижней границы “Планируемой прибыли в %” в виде числа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пятый - количество процентов верхней границы “Планируемой прибыли в %” в виде числа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Допускается передача как пустых значений в параметрах 1, 2, 3, так и NULL. Параметры 4, 5 - либо NULL, либо числа.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Далее список обновляется в соответствии с полученным ответом.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Каждую карточку из списка идей можно открыть на отдельном экране нажав на нее.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Экран “Карточка инвест идеи”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“Заголовок” заполняется из поля name таблицы. Ниже заголовка “планируемая прибыль” в % из поля profit. Ниже - “горизонт планирования” дата из поля date_horizon. Ниже  - “текущая цена” в рублях из поля current_price. Ниже  - “стартовая цена” в рублях из поля price_at_start. Ниже  - “планируемая цена” в рублях из поля target_price. Далее ниже идет описание идеи, берем из поля description. После блока описания внизу экрана, в левом углу автор/источник идеи из поля idea_source. В правом нижнем углу - дата публикации идеи из поля date_published. Ниже эскиз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24150" cy="5200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