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BB5E83" w14:textId="40E91EA2" w:rsidR="00375284" w:rsidRPr="00300CA0" w:rsidRDefault="00F5747D" w:rsidP="00300CA0">
      <w:pPr>
        <w:pStyle w:val="Ttulo1"/>
        <w:rPr>
          <w:kern w:val="48"/>
        </w:rPr>
      </w:pPr>
      <w:commentRangeStart w:id="0"/>
      <w:r>
        <w:rPr>
          <w:noProof/>
        </w:rPr>
        <w:t xml:space="preserve">A ESTRATÉGIA DOS </w:t>
      </w:r>
      <w:r w:rsidR="002A14EF" w:rsidRPr="007948B6">
        <w:rPr>
          <w:noProof/>
        </w:rPr>
        <w:t>BANCOS DIGITAIS</w:t>
      </w:r>
      <w:r>
        <w:rPr>
          <w:noProof/>
        </w:rPr>
        <w:t xml:space="preserve"> NO BRASIL</w:t>
      </w:r>
      <w:commentRangeEnd w:id="0"/>
      <w:r w:rsidR="0062721A">
        <w:rPr>
          <w:rStyle w:val="Refdecomentrio"/>
          <w:b w:val="0"/>
          <w:bCs w:val="0"/>
          <w:kern w:val="1"/>
        </w:rPr>
        <w:commentReference w:id="0"/>
      </w:r>
    </w:p>
    <w:p w14:paraId="09B3110B" w14:textId="4732769B" w:rsidR="000D52A9" w:rsidRDefault="00300CA0" w:rsidP="00375284">
      <w:pPr>
        <w:widowControl/>
        <w:suppressAutoHyphens w:val="0"/>
        <w:jc w:val="both"/>
        <w:textAlignment w:val="auto"/>
        <w:rPr>
          <w:rFonts w:cs="Times New Roman"/>
          <w:lang w:eastAsia="pt-BR"/>
        </w:rPr>
      </w:pPr>
      <w:r>
        <w:rPr>
          <w:rFonts w:cs="Times New Roman"/>
          <w:lang w:eastAsia="pt-BR"/>
        </w:rPr>
        <w:t>Os bancos</w:t>
      </w:r>
      <w:r w:rsidRPr="00157664">
        <w:rPr>
          <w:rFonts w:cs="Times New Roman"/>
          <w:lang w:eastAsia="pt-BR"/>
        </w:rPr>
        <w:t xml:space="preserve"> passaram por grandes transformações </w:t>
      </w:r>
      <w:r>
        <w:rPr>
          <w:rFonts w:cs="Times New Roman"/>
          <w:lang w:eastAsia="pt-BR"/>
        </w:rPr>
        <w:t>tecnológicas durante as últimas décadas. Em meados dos anos</w:t>
      </w:r>
      <w:r w:rsidR="00375284" w:rsidRPr="00375284">
        <w:rPr>
          <w:rFonts w:cs="Times New Roman"/>
          <w:lang w:eastAsia="pt-BR"/>
        </w:rPr>
        <w:t xml:space="preserve"> 1970 e 1980, </w:t>
      </w:r>
      <w:r>
        <w:rPr>
          <w:rFonts w:cs="Times New Roman"/>
          <w:lang w:eastAsia="pt-BR"/>
        </w:rPr>
        <w:t>iniciou-se a</w:t>
      </w:r>
      <w:r w:rsidR="00375284" w:rsidRPr="00375284">
        <w:rPr>
          <w:rFonts w:cs="Times New Roman"/>
          <w:lang w:eastAsia="pt-BR"/>
        </w:rPr>
        <w:t xml:space="preserve"> automação das </w:t>
      </w:r>
      <w:r>
        <w:rPr>
          <w:rFonts w:cs="Times New Roman"/>
          <w:lang w:eastAsia="pt-BR"/>
        </w:rPr>
        <w:t>operações bancárias</w:t>
      </w:r>
      <w:r w:rsidR="00375284" w:rsidRPr="00375284">
        <w:rPr>
          <w:rFonts w:cs="Times New Roman"/>
          <w:lang w:eastAsia="pt-BR"/>
        </w:rPr>
        <w:t>, principalmente após a inclusão dos computadores</w:t>
      </w:r>
      <w:r>
        <w:rPr>
          <w:rFonts w:cs="Times New Roman"/>
          <w:lang w:eastAsia="pt-BR"/>
        </w:rPr>
        <w:t xml:space="preserve">. </w:t>
      </w:r>
      <w:r w:rsidR="005227AB">
        <w:rPr>
          <w:rFonts w:cs="Times New Roman"/>
          <w:lang w:eastAsia="pt-BR"/>
        </w:rPr>
        <w:t>Consequentemente</w:t>
      </w:r>
      <w:r>
        <w:rPr>
          <w:rFonts w:cs="Times New Roman"/>
          <w:lang w:eastAsia="pt-BR"/>
        </w:rPr>
        <w:t xml:space="preserve">, as atividades e os processos bancários passaram a ser </w:t>
      </w:r>
      <w:r w:rsidR="00375284" w:rsidRPr="00375284">
        <w:rPr>
          <w:rFonts w:cs="Times New Roman"/>
          <w:lang w:eastAsia="pt-BR"/>
        </w:rPr>
        <w:t>mais simples e automático</w:t>
      </w:r>
      <w:r>
        <w:rPr>
          <w:rFonts w:cs="Times New Roman"/>
          <w:lang w:eastAsia="pt-BR"/>
        </w:rPr>
        <w:t>s</w:t>
      </w:r>
      <w:r w:rsidR="00D80A9A">
        <w:rPr>
          <w:rFonts w:cs="Times New Roman"/>
          <w:lang w:eastAsia="pt-BR"/>
        </w:rPr>
        <w:t xml:space="preserve"> </w:t>
      </w:r>
      <w:r w:rsidR="00D80A9A" w:rsidRPr="00375284">
        <w:rPr>
          <w:rFonts w:cs="Times New Roman"/>
          <w:lang w:eastAsia="pt-BR"/>
        </w:rPr>
        <w:t xml:space="preserve">(Mello, </w:t>
      </w:r>
      <w:proofErr w:type="spellStart"/>
      <w:r w:rsidR="00D80A9A" w:rsidRPr="00375284">
        <w:rPr>
          <w:rFonts w:cs="Times New Roman"/>
          <w:lang w:eastAsia="pt-BR"/>
        </w:rPr>
        <w:t>Stal</w:t>
      </w:r>
      <w:proofErr w:type="spellEnd"/>
      <w:r w:rsidR="00D80A9A" w:rsidRPr="00375284">
        <w:rPr>
          <w:rFonts w:cs="Times New Roman"/>
          <w:lang w:eastAsia="pt-BR"/>
        </w:rPr>
        <w:t xml:space="preserve"> &amp; Queiroz, 2006)</w:t>
      </w:r>
      <w:r w:rsidR="00375284" w:rsidRPr="00375284">
        <w:rPr>
          <w:rFonts w:cs="Times New Roman"/>
          <w:lang w:eastAsia="pt-BR"/>
        </w:rPr>
        <w:t xml:space="preserve">. </w:t>
      </w:r>
    </w:p>
    <w:p w14:paraId="43415052" w14:textId="2C385ADA" w:rsidR="00300CA0" w:rsidRPr="00C90E24" w:rsidRDefault="00300CA0" w:rsidP="00375284">
      <w:pPr>
        <w:widowControl/>
        <w:suppressAutoHyphens w:val="0"/>
        <w:jc w:val="both"/>
        <w:textAlignment w:val="auto"/>
        <w:rPr>
          <w:rFonts w:cs="Times New Roman"/>
          <w:lang w:eastAsia="pt-BR"/>
        </w:rPr>
      </w:pPr>
      <w:r w:rsidRPr="00C90E24">
        <w:rPr>
          <w:rFonts w:cs="Times New Roman"/>
          <w:lang w:eastAsia="pt-BR"/>
        </w:rPr>
        <w:t>A</w:t>
      </w:r>
      <w:r w:rsidR="00375284" w:rsidRPr="00C90E24">
        <w:rPr>
          <w:rFonts w:cs="Times New Roman"/>
          <w:lang w:eastAsia="pt-BR"/>
        </w:rPr>
        <w:t xml:space="preserve"> partir</w:t>
      </w:r>
      <w:r w:rsidR="00C90E24">
        <w:rPr>
          <w:rFonts w:cs="Times New Roman"/>
          <w:lang w:eastAsia="pt-BR"/>
        </w:rPr>
        <w:t xml:space="preserve"> </w:t>
      </w:r>
      <w:r w:rsidR="00375284" w:rsidRPr="00C90E24">
        <w:rPr>
          <w:rFonts w:cs="Times New Roman"/>
          <w:lang w:eastAsia="pt-BR"/>
        </w:rPr>
        <w:t xml:space="preserve">de 1990 foram criados </w:t>
      </w:r>
      <w:r w:rsidR="001814F9">
        <w:rPr>
          <w:rFonts w:cs="Times New Roman"/>
          <w:lang w:eastAsia="pt-BR"/>
        </w:rPr>
        <w:t xml:space="preserve">as </w:t>
      </w:r>
      <w:r w:rsidR="00375284" w:rsidRPr="00C90E24">
        <w:rPr>
          <w:rFonts w:cs="Times New Roman"/>
          <w:lang w:eastAsia="pt-BR"/>
        </w:rPr>
        <w:t xml:space="preserve">de autosserviço de forma digital – nesse modelo de atendimento os clientes poderiam consultar suas contas e efetuar alguns serviços sem ir a uma agência bancária, possibilitando às instituições financeiras um incremento na base de clientes proporcionalmente maior que a expansão das dependências físicas (Mello, </w:t>
      </w:r>
      <w:proofErr w:type="spellStart"/>
      <w:r w:rsidR="00375284" w:rsidRPr="00C90E24">
        <w:rPr>
          <w:rFonts w:cs="Times New Roman"/>
          <w:lang w:eastAsia="pt-BR"/>
        </w:rPr>
        <w:t>Stal</w:t>
      </w:r>
      <w:proofErr w:type="spellEnd"/>
      <w:r w:rsidR="00375284" w:rsidRPr="00C90E24">
        <w:rPr>
          <w:rFonts w:cs="Times New Roman"/>
          <w:lang w:eastAsia="pt-BR"/>
        </w:rPr>
        <w:t xml:space="preserve"> &amp; Queiroz, 2006). </w:t>
      </w:r>
    </w:p>
    <w:p w14:paraId="66A5BB55" w14:textId="627979A2" w:rsidR="00375284" w:rsidRPr="006A44A9" w:rsidRDefault="00375284" w:rsidP="00300CA0">
      <w:pPr>
        <w:widowControl/>
        <w:suppressAutoHyphens w:val="0"/>
        <w:jc w:val="both"/>
        <w:textAlignment w:val="auto"/>
        <w:rPr>
          <w:rFonts w:cs="Times New Roman"/>
          <w:color w:val="FF0000"/>
          <w:lang w:eastAsia="pt-BR"/>
        </w:rPr>
      </w:pPr>
      <w:r w:rsidRPr="006A44A9">
        <w:rPr>
          <w:rFonts w:cs="Times New Roman"/>
          <w:color w:val="FF0000"/>
          <w:lang w:eastAsia="pt-BR"/>
        </w:rPr>
        <w:t>Nos anos 2000, principalmente após a crise financeira de 2008, que afetou os mercados</w:t>
      </w:r>
      <w:r w:rsidR="00300CA0" w:rsidRPr="006A44A9">
        <w:rPr>
          <w:rFonts w:cs="Times New Roman"/>
          <w:color w:val="FF0000"/>
          <w:lang w:eastAsia="pt-BR"/>
        </w:rPr>
        <w:t xml:space="preserve"> </w:t>
      </w:r>
      <w:r w:rsidRPr="006A44A9">
        <w:rPr>
          <w:rFonts w:cs="Times New Roman"/>
          <w:color w:val="FF0000"/>
          <w:lang w:eastAsia="pt-BR"/>
        </w:rPr>
        <w:t xml:space="preserve">financeiros em geral e aumentou o descrédito da população em relação ao sistema financeiro, houve a criação de uma série de iniciativas para gerar novas opções ao mercado bancário previamente estabelecido. Esse movimento ficou conhecimento como a Revolução </w:t>
      </w:r>
      <w:proofErr w:type="spellStart"/>
      <w:r w:rsidRPr="006A44A9">
        <w:rPr>
          <w:rFonts w:cs="Times New Roman"/>
          <w:color w:val="FF0000"/>
          <w:lang w:eastAsia="pt-BR"/>
        </w:rPr>
        <w:t>Fintech</w:t>
      </w:r>
      <w:proofErr w:type="spellEnd"/>
      <w:r w:rsidRPr="006A44A9">
        <w:rPr>
          <w:rFonts w:cs="Times New Roman"/>
          <w:color w:val="FF0000"/>
          <w:lang w:eastAsia="pt-BR"/>
        </w:rPr>
        <w:t xml:space="preserve"> (</w:t>
      </w:r>
      <w:proofErr w:type="spellStart"/>
      <w:r w:rsidRPr="006A44A9">
        <w:rPr>
          <w:rFonts w:cs="Times New Roman"/>
          <w:color w:val="FF0000"/>
          <w:lang w:eastAsia="pt-BR"/>
        </w:rPr>
        <w:t>Fintechlab</w:t>
      </w:r>
      <w:proofErr w:type="spellEnd"/>
      <w:r w:rsidRPr="006A44A9">
        <w:rPr>
          <w:rFonts w:cs="Times New Roman"/>
          <w:color w:val="FF0000"/>
          <w:lang w:eastAsia="pt-BR"/>
        </w:rPr>
        <w:t>, 2018).</w:t>
      </w:r>
    </w:p>
    <w:p w14:paraId="673EEBB4" w14:textId="4311EA89" w:rsidR="00157664" w:rsidRPr="00157664" w:rsidRDefault="00ED6A73" w:rsidP="00D34249">
      <w:pPr>
        <w:widowControl/>
        <w:suppressAutoHyphens w:val="0"/>
        <w:jc w:val="both"/>
        <w:textAlignment w:val="auto"/>
        <w:rPr>
          <w:rFonts w:cs="Times New Roman"/>
          <w:lang w:eastAsia="pt-BR"/>
        </w:rPr>
      </w:pPr>
      <w:r w:rsidRPr="00375284">
        <w:rPr>
          <w:rFonts w:cs="Times New Roman"/>
          <w:color w:val="FF0000"/>
          <w:lang w:eastAsia="pt-BR"/>
        </w:rPr>
        <w:t>As</w:t>
      </w:r>
      <w:r w:rsidR="00157664" w:rsidRPr="00375284">
        <w:rPr>
          <w:rFonts w:cs="Times New Roman"/>
          <w:color w:val="FF0000"/>
          <w:lang w:eastAsia="pt-BR"/>
        </w:rPr>
        <w:t xml:space="preserve"> agências tornaram-se um ambiente para a realização de negócios, aumentando as áreas de autoatendimento e reduzindo suas áreas operacionais, como o atendimento dos cai</w:t>
      </w:r>
      <w:r w:rsidR="00157664" w:rsidRPr="00375284">
        <w:rPr>
          <w:rFonts w:cs="Times New Roman"/>
          <w:color w:val="FF0000"/>
          <w:lang w:eastAsia="pt-BR"/>
        </w:rPr>
        <w:softHyphen/>
        <w:t>xas e balcões de serviços, por exemplo (</w:t>
      </w:r>
      <w:proofErr w:type="spellStart"/>
      <w:r w:rsidR="00157664" w:rsidRPr="00375284">
        <w:rPr>
          <w:rFonts w:cs="Times New Roman"/>
          <w:color w:val="FF0000"/>
          <w:lang w:eastAsia="pt-BR"/>
        </w:rPr>
        <w:t>Frizon</w:t>
      </w:r>
      <w:proofErr w:type="spellEnd"/>
      <w:r w:rsidR="00157664" w:rsidRPr="00375284">
        <w:rPr>
          <w:rFonts w:cs="Times New Roman"/>
          <w:color w:val="FF0000"/>
          <w:lang w:eastAsia="pt-BR"/>
        </w:rPr>
        <w:t xml:space="preserve">, Brum e </w:t>
      </w:r>
      <w:proofErr w:type="spellStart"/>
      <w:r w:rsidR="00157664" w:rsidRPr="00375284">
        <w:rPr>
          <w:rFonts w:cs="Times New Roman"/>
          <w:color w:val="FF0000"/>
          <w:lang w:eastAsia="pt-BR"/>
        </w:rPr>
        <w:t>Wendt</w:t>
      </w:r>
      <w:proofErr w:type="spellEnd"/>
      <w:r w:rsidR="00157664" w:rsidRPr="00375284">
        <w:rPr>
          <w:rFonts w:cs="Times New Roman"/>
          <w:color w:val="FF0000"/>
          <w:lang w:eastAsia="pt-BR"/>
        </w:rPr>
        <w:t>, 2020). Algumas instituições passaram a fazer uso da inteligência artificial para facilitar a comunica</w:t>
      </w:r>
      <w:r w:rsidR="00157664" w:rsidRPr="00375284">
        <w:rPr>
          <w:rFonts w:cs="Times New Roman"/>
          <w:color w:val="FF0000"/>
          <w:lang w:eastAsia="pt-BR"/>
        </w:rPr>
        <w:softHyphen/>
        <w:t xml:space="preserve">ção com seus inúmeros clientes, reduzindo ainda mais seus custos operacionais e atendendo a um número cada vez maior de clientes (Lima, 2016). Muitos atendimentos passaram a ser feitos exclusivamente pelas áreas de </w:t>
      </w:r>
      <w:proofErr w:type="spellStart"/>
      <w:r w:rsidR="00157664" w:rsidRPr="00375284">
        <w:rPr>
          <w:rFonts w:cs="Times New Roman"/>
          <w:color w:val="FF0000"/>
          <w:lang w:eastAsia="pt-BR"/>
        </w:rPr>
        <w:t>call</w:t>
      </w:r>
      <w:proofErr w:type="spellEnd"/>
      <w:r w:rsidR="00157664" w:rsidRPr="00375284">
        <w:rPr>
          <w:rFonts w:cs="Times New Roman"/>
          <w:color w:val="FF0000"/>
          <w:lang w:eastAsia="pt-BR"/>
        </w:rPr>
        <w:t xml:space="preserve"> center e sistemas de internet, e seus colaboradores fo</w:t>
      </w:r>
      <w:r w:rsidR="00157664" w:rsidRPr="00375284">
        <w:rPr>
          <w:rFonts w:cs="Times New Roman"/>
          <w:color w:val="FF0000"/>
          <w:lang w:eastAsia="pt-BR"/>
        </w:rPr>
        <w:softHyphen/>
        <w:t>ram treinados para direcionar os clientes para canais de autoatendimento em períodos que antecederam a pande</w:t>
      </w:r>
      <w:r w:rsidR="00157664" w:rsidRPr="00375284">
        <w:rPr>
          <w:rFonts w:cs="Times New Roman"/>
          <w:color w:val="FF0000"/>
          <w:lang w:eastAsia="pt-BR"/>
        </w:rPr>
        <w:softHyphen/>
        <w:t>mia de COVID-19.</w:t>
      </w:r>
    </w:p>
    <w:p w14:paraId="66BE8A62" w14:textId="5C3B3A78" w:rsidR="00F6759F" w:rsidRDefault="002F507E" w:rsidP="00D34249">
      <w:pPr>
        <w:widowControl/>
        <w:suppressAutoHyphens w:val="0"/>
        <w:jc w:val="both"/>
        <w:textAlignment w:val="auto"/>
      </w:pPr>
      <w:r>
        <w:rPr>
          <w:rFonts w:cs="Times New Roman"/>
          <w:lang w:eastAsia="pt-BR"/>
        </w:rPr>
        <w:t>No Brasil, o</w:t>
      </w:r>
      <w:r w:rsidR="00F14531">
        <w:rPr>
          <w:rFonts w:cs="Times New Roman"/>
          <w:lang w:eastAsia="pt-BR"/>
        </w:rPr>
        <w:t>s</w:t>
      </w:r>
      <w:r w:rsidR="009A4404">
        <w:rPr>
          <w:rFonts w:cs="Times New Roman"/>
          <w:lang w:eastAsia="pt-BR"/>
        </w:rPr>
        <w:t xml:space="preserve"> primeiros bancos nacionais</w:t>
      </w:r>
      <w:r w:rsidR="00203CA5">
        <w:rPr>
          <w:rFonts w:cs="Times New Roman"/>
          <w:lang w:eastAsia="pt-BR"/>
        </w:rPr>
        <w:t xml:space="preserve"> </w:t>
      </w:r>
      <w:r>
        <w:rPr>
          <w:rFonts w:cs="Times New Roman"/>
          <w:lang w:eastAsia="pt-BR"/>
        </w:rPr>
        <w:t>que começaram a oferecer</w:t>
      </w:r>
      <w:r w:rsidR="00235291">
        <w:rPr>
          <w:rFonts w:cs="Times New Roman"/>
          <w:lang w:eastAsia="pt-BR"/>
        </w:rPr>
        <w:t xml:space="preserve"> atendimento </w:t>
      </w:r>
      <w:r w:rsidR="00652C5D">
        <w:rPr>
          <w:rFonts w:cs="Times New Roman"/>
          <w:lang w:eastAsia="pt-BR"/>
        </w:rPr>
        <w:t xml:space="preserve">exclusivamente </w:t>
      </w:r>
      <w:r w:rsidR="004C0B7F">
        <w:rPr>
          <w:rFonts w:cs="Times New Roman"/>
          <w:lang w:eastAsia="pt-BR"/>
        </w:rPr>
        <w:t>remoto e, portanto, sem o uso de agências</w:t>
      </w:r>
      <w:r w:rsidR="00854625">
        <w:rPr>
          <w:rFonts w:cs="Times New Roman"/>
          <w:lang w:eastAsia="pt-BR"/>
        </w:rPr>
        <w:t xml:space="preserve"> </w:t>
      </w:r>
      <w:r w:rsidR="00F32A26">
        <w:rPr>
          <w:rFonts w:cs="Times New Roman"/>
          <w:lang w:eastAsia="pt-BR"/>
        </w:rPr>
        <w:t xml:space="preserve">foram </w:t>
      </w:r>
      <w:r w:rsidR="00F32A26">
        <w:t>o Unibanco, o Real e o Bandeirantes</w:t>
      </w:r>
      <w:r w:rsidR="00CE28A9">
        <w:t xml:space="preserve"> por volta dos anos 2000</w:t>
      </w:r>
      <w:r w:rsidR="007445FD">
        <w:t xml:space="preserve">. </w:t>
      </w:r>
      <w:r w:rsidR="003E4BAC">
        <w:t>Essa</w:t>
      </w:r>
      <w:r w:rsidR="00F20A20">
        <w:t xml:space="preserve"> ideia</w:t>
      </w:r>
      <w:r w:rsidR="00CE5B47">
        <w:t xml:space="preserve"> de implantar um</w:t>
      </w:r>
      <w:r w:rsidR="00F20A20">
        <w:t xml:space="preserve"> modelo de</w:t>
      </w:r>
      <w:r w:rsidR="00CE5B47">
        <w:t xml:space="preserve"> </w:t>
      </w:r>
      <w:r w:rsidR="00F20A20">
        <w:t xml:space="preserve">negócio </w:t>
      </w:r>
      <w:r w:rsidR="00CE28A9">
        <w:t>virtual</w:t>
      </w:r>
      <w:r w:rsidR="005D7532">
        <w:t xml:space="preserve"> </w:t>
      </w:r>
      <w:r w:rsidR="00FB250F">
        <w:t>foi inspirada no</w:t>
      </w:r>
      <w:r w:rsidR="00084731">
        <w:t>s</w:t>
      </w:r>
      <w:r w:rsidR="00FB250F">
        <w:t xml:space="preserve"> bancos </w:t>
      </w:r>
      <w:proofErr w:type="spellStart"/>
      <w:r w:rsidR="00FB250F">
        <w:t>Cortal</w:t>
      </w:r>
      <w:proofErr w:type="spellEnd"/>
      <w:r w:rsidR="00FB250F">
        <w:t xml:space="preserve"> da França e </w:t>
      </w:r>
      <w:proofErr w:type="spellStart"/>
      <w:r w:rsidR="00FB250F">
        <w:t>First</w:t>
      </w:r>
      <w:proofErr w:type="spellEnd"/>
      <w:r w:rsidR="00FB250F">
        <w:t xml:space="preserve"> Direct da Inglaterra</w:t>
      </w:r>
      <w:r w:rsidR="00E131AC">
        <w:t>.</w:t>
      </w:r>
      <w:r w:rsidR="00CE28A9">
        <w:t xml:space="preserve"> Naquela época, o</w:t>
      </w:r>
      <w:r w:rsidR="00D338AA">
        <w:t>s consumidores relacionavam-se com os bancos virtuais basicamente</w:t>
      </w:r>
      <w:r w:rsidR="00CE28A9">
        <w:t xml:space="preserve"> por meio de </w:t>
      </w:r>
      <w:proofErr w:type="spellStart"/>
      <w:r w:rsidR="00CE28A9" w:rsidRPr="00CE28A9">
        <w:rPr>
          <w:i/>
          <w:iCs/>
        </w:rPr>
        <w:t>call</w:t>
      </w:r>
      <w:proofErr w:type="spellEnd"/>
      <w:r w:rsidR="00CE28A9" w:rsidRPr="00CE28A9">
        <w:rPr>
          <w:i/>
          <w:iCs/>
        </w:rPr>
        <w:t xml:space="preserve"> center</w:t>
      </w:r>
      <w:r w:rsidR="00CE28A9">
        <w:t xml:space="preserve">, </w:t>
      </w:r>
      <w:r w:rsidR="00D338AA">
        <w:t>o que diminuía os custos com atendimento, pois só chegavam até os gerentes os problemas ou dúvidas que não eram solucionados</w:t>
      </w:r>
      <w:r w:rsidR="00711497">
        <w:t xml:space="preserve"> por meio de ligação </w:t>
      </w:r>
      <w:r w:rsidR="00C2353A">
        <w:t>telefônica</w:t>
      </w:r>
      <w:r w:rsidR="00D338AA">
        <w:t xml:space="preserve">. Atualmente, esse conceito mudou e quando </w:t>
      </w:r>
      <w:r w:rsidR="00E131AC">
        <w:t>se fala</w:t>
      </w:r>
      <w:r w:rsidR="00D338AA">
        <w:t xml:space="preserve"> em bancos digitais estamos falando </w:t>
      </w:r>
      <w:r w:rsidR="00E131AC">
        <w:t xml:space="preserve">de instituições financeiras que atuam exclusivamente pela </w:t>
      </w:r>
      <w:r w:rsidR="00E131AC" w:rsidRPr="00E131AC">
        <w:rPr>
          <w:i/>
          <w:iCs/>
        </w:rPr>
        <w:t>Internet</w:t>
      </w:r>
      <w:r w:rsidR="00E131AC">
        <w:t xml:space="preserve"> (</w:t>
      </w:r>
      <w:r w:rsidR="00E131AC" w:rsidRPr="0057363D">
        <w:rPr>
          <w:rFonts w:hint="eastAsia"/>
        </w:rPr>
        <w:t>VEIGA</w:t>
      </w:r>
      <w:r w:rsidR="00E131AC">
        <w:t xml:space="preserve"> &amp;</w:t>
      </w:r>
      <w:r w:rsidR="00E131AC" w:rsidRPr="0057363D">
        <w:rPr>
          <w:rFonts w:hint="eastAsia"/>
        </w:rPr>
        <w:t xml:space="preserve"> OLIVEIRA</w:t>
      </w:r>
      <w:r w:rsidR="00E131AC">
        <w:t xml:space="preserve">, </w:t>
      </w:r>
      <w:r w:rsidR="00E131AC" w:rsidRPr="0057363D">
        <w:rPr>
          <w:rFonts w:hint="eastAsia"/>
        </w:rPr>
        <w:t>2006)</w:t>
      </w:r>
      <w:r w:rsidR="00E131AC">
        <w:t>.</w:t>
      </w:r>
    </w:p>
    <w:p w14:paraId="0EDF69DD" w14:textId="62884F31" w:rsidR="0018304F" w:rsidRDefault="008A468A" w:rsidP="006B3400">
      <w:pPr>
        <w:widowControl/>
        <w:suppressAutoHyphens w:val="0"/>
        <w:jc w:val="both"/>
        <w:textAlignment w:val="auto"/>
        <w:rPr>
          <w:rFonts w:cs="Times New Roman"/>
          <w:lang w:eastAsia="pt-BR"/>
        </w:rPr>
      </w:pPr>
      <w:r>
        <w:rPr>
          <w:rFonts w:cs="Times New Roman"/>
          <w:lang w:eastAsia="pt-BR"/>
        </w:rPr>
        <w:lastRenderedPageBreak/>
        <w:t xml:space="preserve">De acordo com o Banco Central do Brasil (2020), </w:t>
      </w:r>
      <w:r w:rsidR="009D5EC5">
        <w:rPr>
          <w:rFonts w:cs="Times New Roman"/>
          <w:lang w:eastAsia="pt-BR"/>
        </w:rPr>
        <w:t xml:space="preserve">ainda não há uma modalidade específica </w:t>
      </w:r>
      <w:r w:rsidR="009A457E">
        <w:rPr>
          <w:rFonts w:cs="Times New Roman"/>
          <w:lang w:eastAsia="pt-BR"/>
        </w:rPr>
        <w:t xml:space="preserve">entre os tipos de instituições bancárias </w:t>
      </w:r>
      <w:r w:rsidR="009D5EC5">
        <w:rPr>
          <w:rFonts w:cs="Times New Roman"/>
          <w:lang w:eastAsia="pt-BR"/>
        </w:rPr>
        <w:t xml:space="preserve">que </w:t>
      </w:r>
      <w:r w:rsidR="004F187A">
        <w:rPr>
          <w:rFonts w:cs="Times New Roman"/>
          <w:lang w:eastAsia="pt-BR"/>
        </w:rPr>
        <w:t>possa regulamentar</w:t>
      </w:r>
      <w:r w:rsidR="009D5EC5">
        <w:rPr>
          <w:rFonts w:cs="Times New Roman"/>
          <w:lang w:eastAsia="pt-BR"/>
        </w:rPr>
        <w:t xml:space="preserve"> o funcionamento d</w:t>
      </w:r>
      <w:r>
        <w:rPr>
          <w:rFonts w:cs="Times New Roman"/>
          <w:lang w:eastAsia="pt-BR"/>
        </w:rPr>
        <w:t>o</w:t>
      </w:r>
      <w:r w:rsidR="0018304F" w:rsidRPr="0018304F">
        <w:rPr>
          <w:rFonts w:cs="Times New Roman" w:hint="eastAsia"/>
          <w:lang w:eastAsia="pt-BR"/>
        </w:rPr>
        <w:t>s bancos digitais</w:t>
      </w:r>
      <w:r w:rsidR="009D5EC5">
        <w:rPr>
          <w:rFonts w:cs="Times New Roman"/>
          <w:lang w:eastAsia="pt-BR"/>
        </w:rPr>
        <w:t>.</w:t>
      </w:r>
      <w:r w:rsidR="0018304F" w:rsidRPr="0018304F">
        <w:rPr>
          <w:rFonts w:cs="Times New Roman" w:hint="eastAsia"/>
          <w:lang w:eastAsia="pt-BR"/>
        </w:rPr>
        <w:t xml:space="preserve"> </w:t>
      </w:r>
      <w:r w:rsidR="009A457E">
        <w:rPr>
          <w:rFonts w:cs="Times New Roman"/>
          <w:lang w:eastAsia="pt-BR"/>
        </w:rPr>
        <w:t xml:space="preserve">Sendo assim, os bancos digitais são tratados como </w:t>
      </w:r>
      <w:r w:rsidR="0018304F" w:rsidRPr="0018304F">
        <w:rPr>
          <w:rFonts w:cs="Times New Roman" w:hint="eastAsia"/>
          <w:lang w:eastAsia="pt-BR"/>
        </w:rPr>
        <w:t xml:space="preserve">instituições </w:t>
      </w:r>
      <w:r w:rsidR="009A457E">
        <w:rPr>
          <w:rFonts w:cs="Times New Roman"/>
          <w:lang w:eastAsia="pt-BR"/>
        </w:rPr>
        <w:t>bancárias, ou seja,</w:t>
      </w:r>
      <w:r w:rsidR="0018304F" w:rsidRPr="0018304F">
        <w:rPr>
          <w:rFonts w:cs="Times New Roman" w:hint="eastAsia"/>
          <w:lang w:eastAsia="pt-BR"/>
        </w:rPr>
        <w:t xml:space="preserve"> </w:t>
      </w:r>
      <w:r w:rsidR="009A457E">
        <w:rPr>
          <w:rFonts w:cs="Times New Roman"/>
          <w:lang w:eastAsia="pt-BR"/>
        </w:rPr>
        <w:t xml:space="preserve">instituições </w:t>
      </w:r>
      <w:r w:rsidR="0018304F" w:rsidRPr="0018304F">
        <w:rPr>
          <w:rFonts w:cs="Times New Roman" w:hint="eastAsia"/>
          <w:lang w:eastAsia="pt-BR"/>
        </w:rPr>
        <w:t xml:space="preserve">autorizadas a atuar como </w:t>
      </w:r>
      <w:commentRangeStart w:id="1"/>
      <w:r w:rsidR="0018304F" w:rsidRPr="0018304F">
        <w:rPr>
          <w:rFonts w:cs="Times New Roman" w:hint="eastAsia"/>
          <w:lang w:eastAsia="pt-BR"/>
        </w:rPr>
        <w:t>bancos comerciais</w:t>
      </w:r>
      <w:r w:rsidR="009A457E">
        <w:rPr>
          <w:rFonts w:cs="Times New Roman"/>
          <w:lang w:eastAsia="pt-BR"/>
        </w:rPr>
        <w:t>, de investimento ou como bancos múltiplos</w:t>
      </w:r>
      <w:commentRangeEnd w:id="1"/>
      <w:r w:rsidR="0062721A">
        <w:rPr>
          <w:rStyle w:val="Refdecomentrio"/>
        </w:rPr>
        <w:commentReference w:id="1"/>
      </w:r>
      <w:r w:rsidR="0018304F" w:rsidRPr="0018304F">
        <w:rPr>
          <w:rFonts w:cs="Times New Roman" w:hint="eastAsia"/>
          <w:lang w:eastAsia="pt-BR"/>
        </w:rPr>
        <w:t xml:space="preserve"> e, portanto,</w:t>
      </w:r>
      <w:r w:rsidR="006B3400">
        <w:rPr>
          <w:rFonts w:cs="Times New Roman"/>
          <w:lang w:eastAsia="pt-BR"/>
        </w:rPr>
        <w:t xml:space="preserve"> devem oferecer</w:t>
      </w:r>
      <w:r w:rsidR="0018304F" w:rsidRPr="0018304F">
        <w:rPr>
          <w:rFonts w:cs="Times New Roman" w:hint="eastAsia"/>
          <w:lang w:eastAsia="pt-BR"/>
        </w:rPr>
        <w:t xml:space="preserve"> produtos e serviços semelhantes aos mesmos. </w:t>
      </w:r>
      <w:r w:rsidR="006B3400">
        <w:rPr>
          <w:rFonts w:cs="Times New Roman"/>
          <w:lang w:eastAsia="pt-BR"/>
        </w:rPr>
        <w:t xml:space="preserve">Além disso, o BCB (Banco Central do Brasil) enxerga essa categoria </w:t>
      </w:r>
      <w:commentRangeStart w:id="2"/>
      <w:r w:rsidR="006B3400">
        <w:rPr>
          <w:rFonts w:cs="Times New Roman"/>
          <w:lang w:eastAsia="pt-BR"/>
        </w:rPr>
        <w:t>como uma estratégia operacional e mercadológica</w:t>
      </w:r>
      <w:commentRangeEnd w:id="2"/>
      <w:r w:rsidR="0062721A">
        <w:rPr>
          <w:rStyle w:val="Refdecomentrio"/>
        </w:rPr>
        <w:commentReference w:id="2"/>
      </w:r>
      <w:r w:rsidR="00E10ADF">
        <w:rPr>
          <w:rFonts w:cs="Times New Roman"/>
          <w:lang w:eastAsia="pt-BR"/>
        </w:rPr>
        <w:t xml:space="preserve">. </w:t>
      </w:r>
      <w:r w:rsidR="0018304F" w:rsidRPr="0018304F">
        <w:rPr>
          <w:rFonts w:cs="Times New Roman" w:hint="eastAsia"/>
          <w:lang w:eastAsia="pt-BR"/>
        </w:rPr>
        <w:t xml:space="preserve">Seu grande diferencial é a ausência de agências físicas, a cobrança de taxas e tarifas reduzidas ou nulas e </w:t>
      </w:r>
      <w:r w:rsidR="00C05032">
        <w:rPr>
          <w:rFonts w:cs="Times New Roman"/>
          <w:lang w:eastAsia="pt-BR"/>
        </w:rPr>
        <w:t xml:space="preserve">a </w:t>
      </w:r>
      <w:r w:rsidR="0018304F" w:rsidRPr="0018304F">
        <w:rPr>
          <w:rFonts w:cs="Times New Roman" w:hint="eastAsia"/>
          <w:lang w:eastAsia="pt-BR"/>
        </w:rPr>
        <w:t xml:space="preserve">comunicação </w:t>
      </w:r>
      <w:r w:rsidR="00250522">
        <w:rPr>
          <w:rFonts w:cs="Times New Roman"/>
          <w:lang w:eastAsia="pt-BR"/>
        </w:rPr>
        <w:t xml:space="preserve">feita </w:t>
      </w:r>
      <w:r w:rsidR="0018304F" w:rsidRPr="0018304F">
        <w:rPr>
          <w:rFonts w:cs="Times New Roman" w:hint="eastAsia"/>
          <w:lang w:eastAsia="pt-BR"/>
        </w:rPr>
        <w:t xml:space="preserve">100% por meio da interface </w:t>
      </w:r>
      <w:r w:rsidR="0018304F" w:rsidRPr="00C05032">
        <w:rPr>
          <w:rFonts w:cs="Times New Roman" w:hint="eastAsia"/>
          <w:i/>
          <w:iCs/>
          <w:lang w:eastAsia="pt-BR"/>
        </w:rPr>
        <w:t>mobile</w:t>
      </w:r>
      <w:r w:rsidR="0018304F" w:rsidRPr="0018304F">
        <w:rPr>
          <w:rFonts w:cs="Times New Roman" w:hint="eastAsia"/>
          <w:lang w:eastAsia="pt-BR"/>
        </w:rPr>
        <w:t xml:space="preserve">, </w:t>
      </w:r>
      <w:r w:rsidR="00250522">
        <w:rPr>
          <w:rFonts w:cs="Times New Roman"/>
          <w:lang w:eastAsia="pt-BR"/>
        </w:rPr>
        <w:t xml:space="preserve">ou seja, </w:t>
      </w:r>
      <w:r w:rsidR="0018304F" w:rsidRPr="0018304F">
        <w:rPr>
          <w:rFonts w:cs="Times New Roman" w:hint="eastAsia"/>
          <w:lang w:eastAsia="pt-BR"/>
        </w:rPr>
        <w:t>sem a necessidade de recorrer a atendimentos presenciais</w:t>
      </w:r>
      <w:r w:rsidR="00C05032">
        <w:rPr>
          <w:rFonts w:cs="Times New Roman"/>
          <w:lang w:eastAsia="pt-BR"/>
        </w:rPr>
        <w:t>, objetivando maior transparência dos seus serviços e melhor experiência do cliente</w:t>
      </w:r>
      <w:r w:rsidR="0018304F" w:rsidRPr="0018304F">
        <w:rPr>
          <w:rFonts w:cs="Times New Roman" w:hint="eastAsia"/>
          <w:lang w:eastAsia="pt-BR"/>
        </w:rPr>
        <w:t>.</w:t>
      </w:r>
    </w:p>
    <w:p w14:paraId="2252F26E" w14:textId="191382A1" w:rsidR="00C46B65" w:rsidRPr="00C46B65" w:rsidRDefault="00C46B65" w:rsidP="00C46B65">
      <w:pPr>
        <w:widowControl/>
        <w:suppressAutoHyphens w:val="0"/>
        <w:jc w:val="both"/>
        <w:textAlignment w:val="auto"/>
        <w:rPr>
          <w:rFonts w:cs="Times New Roman"/>
          <w:color w:val="FF0000"/>
          <w:lang w:eastAsia="pt-BR"/>
        </w:rPr>
      </w:pPr>
      <w:r w:rsidRPr="00C46B65">
        <w:rPr>
          <w:rFonts w:cs="Times New Roman"/>
          <w:color w:val="FF0000"/>
          <w:lang w:eastAsia="pt-BR"/>
        </w:rPr>
        <w:t>Os bancos adotaram o uso de sistemas de informações em seus pacotes de serviço. Atualmente, várias contas possibilitam que os consumidores acessem e realizem movimentações bancárias pelo computador ou com o uso de aplicativos (Costa &amp; Carvalho, 2017). Nesse contexto, surgiram as contas digitais, as quais são definidas, de acordo com os sites dos bancos selecionados para esse artigo, como uma conta em que não há interação do consumidor com um funcionário bancário em uma agência física.</w:t>
      </w:r>
    </w:p>
    <w:p w14:paraId="712FE3B9" w14:textId="77777777" w:rsidR="00695224" w:rsidRPr="00BE18D5" w:rsidRDefault="0018304F" w:rsidP="00695224">
      <w:pPr>
        <w:widowControl/>
        <w:suppressAutoHyphens w:val="0"/>
        <w:jc w:val="both"/>
        <w:textAlignment w:val="auto"/>
        <w:rPr>
          <w:rFonts w:cs="Times New Roman"/>
          <w:color w:val="FF0000"/>
          <w:lang w:eastAsia="pt-BR"/>
        </w:rPr>
      </w:pPr>
      <w:r w:rsidRPr="00BE18D5">
        <w:rPr>
          <w:rFonts w:cs="Times New Roman" w:hint="eastAsia"/>
          <w:color w:val="FF0000"/>
          <w:lang w:eastAsia="pt-BR"/>
        </w:rPr>
        <w:t>Este tipo de instituição oferece as contas digitais que, entre seus diferenciais, conta com cobertura do FGC (Fundo Garantidor de Créditos), que cobre em até R$ 250 mil por instituição e por CPF (Cadastro Pessoa Física) ou CNPJ (Cadastro Nacional Pessoa Jurídica), em casos de extrajudicial, falência ou insolvência das instituições.</w:t>
      </w:r>
    </w:p>
    <w:p w14:paraId="44A8F386" w14:textId="209331A0" w:rsidR="0062721A" w:rsidRDefault="0062721A" w:rsidP="0062721A">
      <w:pPr>
        <w:widowControl/>
        <w:suppressAutoHyphens w:val="0"/>
        <w:ind w:firstLine="0"/>
        <w:jc w:val="both"/>
        <w:textAlignment w:val="auto"/>
      </w:pPr>
    </w:p>
    <w:p w14:paraId="5D33CB36" w14:textId="558ADA00" w:rsidR="009A2496" w:rsidRDefault="0062721A" w:rsidP="009A2496">
      <w:pPr>
        <w:pStyle w:val="Subttulo"/>
      </w:pPr>
      <w:r>
        <w:t>Modalidades de instituições bancárias</w:t>
      </w:r>
    </w:p>
    <w:p w14:paraId="54C71D39" w14:textId="65D01151" w:rsidR="003C7AF2" w:rsidRDefault="009A2496" w:rsidP="00AD58B1">
      <w:pPr>
        <w:jc w:val="both"/>
      </w:pPr>
      <w:r>
        <w:t xml:space="preserve">O Sistema Financeiro Nacional (SFN) brasileiro </w:t>
      </w:r>
      <w:r w:rsidR="00255CE7">
        <w:t>é</w:t>
      </w:r>
      <w:r w:rsidR="002E78DE">
        <w:t xml:space="preserve"> constituído </w:t>
      </w:r>
      <w:r w:rsidR="002E78DE" w:rsidRPr="002E78DE">
        <w:t xml:space="preserve">por um conjunto de entidades e instituições </w:t>
      </w:r>
      <w:r w:rsidR="002E78DE">
        <w:t xml:space="preserve">financeiras </w:t>
      </w:r>
      <w:r w:rsidR="002E78DE" w:rsidRPr="002E78DE">
        <w:t xml:space="preserve">que promovem a </w:t>
      </w:r>
      <w:r w:rsidR="002E78DE">
        <w:t>transferência de recursos</w:t>
      </w:r>
      <w:r w:rsidR="002E78DE" w:rsidRPr="002E78DE">
        <w:t xml:space="preserve"> entre credores e tomadores</w:t>
      </w:r>
      <w:r w:rsidR="002E78DE">
        <w:t>.</w:t>
      </w:r>
      <w:r w:rsidR="00255CE7">
        <w:t xml:space="preserve"> Portanto, </w:t>
      </w:r>
      <w:r w:rsidR="00252D2B" w:rsidRPr="00252D2B">
        <w:t xml:space="preserve">é por meio dele que </w:t>
      </w:r>
      <w:r w:rsidR="006076C7">
        <w:t>se movimentam</w:t>
      </w:r>
      <w:r w:rsidR="00252D2B" w:rsidRPr="00252D2B">
        <w:t xml:space="preserve"> a maior parte dos ativos</w:t>
      </w:r>
      <w:r w:rsidR="00252D2B">
        <w:t>,</w:t>
      </w:r>
      <w:r w:rsidR="00252D2B" w:rsidRPr="00252D2B">
        <w:t xml:space="preserve"> dívidas e investimentos </w:t>
      </w:r>
      <w:r w:rsidR="00252D2B">
        <w:t xml:space="preserve">dos cidadãos, das empresas e do governo </w:t>
      </w:r>
      <w:r w:rsidR="00255CE7">
        <w:t xml:space="preserve">(BANCO CENTRAL, 2022; </w:t>
      </w:r>
      <w:r w:rsidR="00255CE7">
        <w:rPr>
          <w:rFonts w:cs="Times New Roman"/>
        </w:rPr>
        <w:t>SILVA et al, 2016</w:t>
      </w:r>
      <w:r w:rsidR="00255CE7">
        <w:t>).</w:t>
      </w:r>
    </w:p>
    <w:p w14:paraId="5F27EA94" w14:textId="03B140A4" w:rsidR="00252D2B" w:rsidRDefault="00A31DB6" w:rsidP="00AD58B1">
      <w:pPr>
        <w:jc w:val="both"/>
      </w:pPr>
      <w:r>
        <w:t>De acordo com a Figura X, a</w:t>
      </w:r>
      <w:r w:rsidR="00252D2B">
        <w:t xml:space="preserve"> estrutura do SFN </w:t>
      </w:r>
      <w:r w:rsidR="00252D2B" w:rsidRPr="00252D2B">
        <w:t xml:space="preserve">é </w:t>
      </w:r>
      <w:r w:rsidR="00252D2B">
        <w:t>composta por</w:t>
      </w:r>
      <w:r>
        <w:t>:</w:t>
      </w:r>
    </w:p>
    <w:p w14:paraId="683EB56D" w14:textId="04220672" w:rsidR="00252D2B" w:rsidRDefault="00252D2B" w:rsidP="00252D2B">
      <w:pPr>
        <w:numPr>
          <w:ilvl w:val="0"/>
          <w:numId w:val="16"/>
        </w:numPr>
        <w:jc w:val="both"/>
      </w:pPr>
      <w:r>
        <w:t>órgãos</w:t>
      </w:r>
      <w:r w:rsidRPr="00252D2B">
        <w:t xml:space="preserve"> normativos</w:t>
      </w:r>
      <w:r>
        <w:t>:</w:t>
      </w:r>
      <w:r w:rsidR="00A31DB6">
        <w:t xml:space="preserve"> elaboram as </w:t>
      </w:r>
      <w:r w:rsidR="00A31DB6" w:rsidRPr="00A31DB6">
        <w:t>regras gerais para funcionamento do sistema</w:t>
      </w:r>
      <w:r w:rsidR="00A31DB6">
        <w:t>;</w:t>
      </w:r>
    </w:p>
    <w:p w14:paraId="2507EECC" w14:textId="49953621" w:rsidR="00A31DB6" w:rsidRDefault="006076C7" w:rsidP="00252D2B">
      <w:pPr>
        <w:numPr>
          <w:ilvl w:val="0"/>
          <w:numId w:val="16"/>
        </w:numPr>
        <w:jc w:val="both"/>
      </w:pPr>
      <w:r>
        <w:t>entidades</w:t>
      </w:r>
      <w:r w:rsidR="00A31DB6">
        <w:t xml:space="preserve"> </w:t>
      </w:r>
      <w:r w:rsidR="00A31DB6" w:rsidRPr="00A31DB6">
        <w:t>supervisor</w:t>
      </w:r>
      <w:r>
        <w:t>a</w:t>
      </w:r>
      <w:r w:rsidR="00A31DB6" w:rsidRPr="00A31DB6">
        <w:t>s</w:t>
      </w:r>
      <w:r w:rsidR="00A31DB6">
        <w:t>:</w:t>
      </w:r>
      <w:r>
        <w:t xml:space="preserve"> monitoram e fiscalizam os demais agentes</w:t>
      </w:r>
      <w:r w:rsidRPr="006076C7">
        <w:t xml:space="preserve"> do sistema financeiro </w:t>
      </w:r>
      <w:r>
        <w:t>para que sigam as regras elaboradas</w:t>
      </w:r>
      <w:r w:rsidRPr="006076C7">
        <w:t xml:space="preserve"> pelos órgãos normativos</w:t>
      </w:r>
      <w:r w:rsidR="00A31DB6">
        <w:t>;</w:t>
      </w:r>
    </w:p>
    <w:p w14:paraId="489AFA31" w14:textId="012BF8A8" w:rsidR="004E002C" w:rsidRPr="0070336D" w:rsidRDefault="006076C7" w:rsidP="0070336D">
      <w:pPr>
        <w:numPr>
          <w:ilvl w:val="0"/>
          <w:numId w:val="16"/>
        </w:numPr>
        <w:jc w:val="both"/>
      </w:pPr>
      <w:r>
        <w:t>entidades</w:t>
      </w:r>
      <w:r w:rsidR="00A31DB6">
        <w:t xml:space="preserve"> </w:t>
      </w:r>
      <w:r w:rsidR="00A31DB6" w:rsidRPr="00A31DB6">
        <w:t>operador</w:t>
      </w:r>
      <w:r>
        <w:t>a</w:t>
      </w:r>
      <w:r w:rsidR="00A31DB6" w:rsidRPr="00A31DB6">
        <w:t>s</w:t>
      </w:r>
      <w:r w:rsidR="00A31DB6">
        <w:t>:</w:t>
      </w:r>
      <w:r>
        <w:t xml:space="preserve"> são instituições intermediárias que ofertam serviços </w:t>
      </w:r>
      <w:r>
        <w:lastRenderedPageBreak/>
        <w:t>financeiros</w:t>
      </w:r>
      <w:r w:rsidR="000B1DC1">
        <w:t xml:space="preserve"> diretamente para o </w:t>
      </w:r>
      <w:commentRangeStart w:id="3"/>
      <w:r w:rsidR="000B1DC1">
        <w:t>público</w:t>
      </w:r>
      <w:commentRangeEnd w:id="3"/>
      <w:r w:rsidR="0070336D">
        <w:rPr>
          <w:rStyle w:val="Refdecomentrio"/>
        </w:rPr>
        <w:commentReference w:id="3"/>
      </w:r>
      <w:r w:rsidR="00A31DB6">
        <w:t>.</w:t>
      </w:r>
    </w:p>
    <w:p w14:paraId="65406262" w14:textId="77777777" w:rsidR="004E002C" w:rsidRPr="004E002C" w:rsidRDefault="004E002C" w:rsidP="004E002C">
      <w:pPr>
        <w:spacing w:line="240" w:lineRule="auto"/>
        <w:ind w:left="2268" w:hanging="1134"/>
        <w:jc w:val="both"/>
      </w:pPr>
    </w:p>
    <w:p w14:paraId="67E00813" w14:textId="1F01F142" w:rsidR="00AD58B1" w:rsidRDefault="00AD58B1" w:rsidP="004E002C">
      <w:pPr>
        <w:widowControl/>
        <w:suppressAutoHyphens w:val="0"/>
        <w:ind w:firstLine="567"/>
        <w:jc w:val="both"/>
        <w:textAlignment w:val="auto"/>
        <w:rPr>
          <w:noProof/>
        </w:rPr>
      </w:pPr>
      <w:r>
        <w:rPr>
          <w:noProof/>
        </w:rPr>
        <w:t xml:space="preserve">Figura </w:t>
      </w:r>
      <w:r w:rsidR="000B1DC1">
        <w:rPr>
          <w:noProof/>
        </w:rPr>
        <w:t>X – Estrutura do Sistema Financeiro Nacional</w:t>
      </w:r>
    </w:p>
    <w:p w14:paraId="774C4595" w14:textId="6575DD0A" w:rsidR="00930290" w:rsidRDefault="001A4EA1" w:rsidP="004E002C">
      <w:pPr>
        <w:widowControl/>
        <w:suppressAutoHyphens w:val="0"/>
        <w:ind w:firstLine="0"/>
        <w:jc w:val="center"/>
        <w:textAlignment w:val="auto"/>
        <w:rPr>
          <w:noProof/>
        </w:rPr>
      </w:pPr>
      <w:r>
        <w:rPr>
          <w:noProof/>
        </w:rPr>
        <w:drawing>
          <wp:inline distT="0" distB="0" distL="0" distR="0" wp14:anchorId="5C0AEF2A" wp14:editId="36A14F8E">
            <wp:extent cx="5124450" cy="470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4705350"/>
                    </a:xfrm>
                    <a:prstGeom prst="rect">
                      <a:avLst/>
                    </a:prstGeom>
                    <a:noFill/>
                    <a:ln>
                      <a:noFill/>
                    </a:ln>
                  </pic:spPr>
                </pic:pic>
              </a:graphicData>
            </a:graphic>
          </wp:inline>
        </w:drawing>
      </w:r>
    </w:p>
    <w:p w14:paraId="43397F40" w14:textId="77777777" w:rsidR="00930290" w:rsidRPr="00930290" w:rsidRDefault="00930290" w:rsidP="004E002C">
      <w:pPr>
        <w:widowControl/>
        <w:suppressAutoHyphens w:val="0"/>
        <w:spacing w:line="240" w:lineRule="auto"/>
        <w:ind w:firstLine="567"/>
        <w:jc w:val="both"/>
        <w:textAlignment w:val="auto"/>
        <w:rPr>
          <w:sz w:val="20"/>
          <w:szCs w:val="20"/>
        </w:rPr>
      </w:pPr>
      <w:r w:rsidRPr="00930290">
        <w:rPr>
          <w:sz w:val="20"/>
          <w:szCs w:val="20"/>
        </w:rPr>
        <w:t>* Dependendo de suas atividades corretoras e distribuidoras também são fiscalizadas pela CVM.</w:t>
      </w:r>
    </w:p>
    <w:p w14:paraId="0FD38C99" w14:textId="77777777" w:rsidR="00930290" w:rsidRPr="00930290" w:rsidRDefault="00930290" w:rsidP="00930290">
      <w:pPr>
        <w:widowControl/>
        <w:suppressAutoHyphens w:val="0"/>
        <w:spacing w:line="240" w:lineRule="auto"/>
        <w:ind w:firstLine="0"/>
        <w:jc w:val="both"/>
        <w:textAlignment w:val="auto"/>
        <w:rPr>
          <w:sz w:val="20"/>
          <w:szCs w:val="20"/>
        </w:rPr>
      </w:pPr>
      <w:r w:rsidRPr="00930290">
        <w:rPr>
          <w:sz w:val="20"/>
          <w:szCs w:val="20"/>
        </w:rPr>
        <w:t>** As Instituições de Pagamento não compõem o SFN, mas são reguladas e fiscalizadas pelo BCB, conforme diretrizes estabelecidas pelo CMN.</w:t>
      </w:r>
    </w:p>
    <w:p w14:paraId="41C594F6" w14:textId="42F6215F" w:rsidR="00930290" w:rsidRDefault="000B1DC1" w:rsidP="00930290">
      <w:pPr>
        <w:widowControl/>
        <w:suppressAutoHyphens w:val="0"/>
        <w:ind w:firstLine="0"/>
        <w:jc w:val="both"/>
        <w:textAlignment w:val="auto"/>
      </w:pPr>
      <w:r>
        <w:t>Fonte: Banco Central, 2022.</w:t>
      </w:r>
    </w:p>
    <w:p w14:paraId="7E7BBF05" w14:textId="6C18FE01" w:rsidR="0070336D" w:rsidRDefault="0070336D" w:rsidP="0070336D">
      <w:pPr>
        <w:jc w:val="both"/>
      </w:pPr>
      <w:r>
        <w:t xml:space="preserve">Sendo assim, compete ao Banco Central do Brasil supervisionar os cidadãos e as instituições financeiras para que sigam as normas definidas pelo Conselho Monetário Nacional (CMN): </w:t>
      </w:r>
    </w:p>
    <w:p w14:paraId="6C5C2288" w14:textId="77777777" w:rsidR="0070336D" w:rsidRDefault="0070336D" w:rsidP="0070336D">
      <w:pPr>
        <w:spacing w:line="240" w:lineRule="auto"/>
        <w:ind w:left="2268" w:firstLine="0"/>
        <w:jc w:val="both"/>
        <w:rPr>
          <w:sz w:val="20"/>
          <w:szCs w:val="20"/>
        </w:rPr>
      </w:pPr>
      <w:r w:rsidRPr="004E002C">
        <w:rPr>
          <w:sz w:val="20"/>
          <w:szCs w:val="20"/>
        </w:rPr>
        <w:t>O Banco Central é uma autarquia de natureza especial, criado pela Lei nº 4.595/1964 e com autonomia estabelecida pela Lei Complementar nº 179/2021, que tem como missão garantir a estabilidade do poder de compra da moeda, zelar por um sistema financeiro sólido, eficiente e competitivo, e fomentar o bem-estar econômico da sociedade. A instituição é responsável por executar a estratégia estabelecida pelo Conselho Monetário Nacional (CMN) para manter a inflação sob controle e atua como secretaria executiva desse órgão</w:t>
      </w:r>
      <w:r>
        <w:rPr>
          <w:sz w:val="20"/>
          <w:szCs w:val="20"/>
        </w:rPr>
        <w:t xml:space="preserve"> </w:t>
      </w:r>
      <w:r w:rsidRPr="004E002C">
        <w:rPr>
          <w:sz w:val="20"/>
          <w:szCs w:val="20"/>
        </w:rPr>
        <w:t>(BANCO CENTRAL, 2022)</w:t>
      </w:r>
      <w:bookmarkStart w:id="4" w:name="_Hlk106872644"/>
      <w:r w:rsidRPr="004E002C">
        <w:rPr>
          <w:sz w:val="20"/>
          <w:szCs w:val="20"/>
        </w:rPr>
        <w:t>.</w:t>
      </w:r>
      <w:bookmarkEnd w:id="4"/>
    </w:p>
    <w:p w14:paraId="58714816" w14:textId="15D55916" w:rsidR="0070336D" w:rsidRDefault="0070336D" w:rsidP="008F68AD">
      <w:pPr>
        <w:widowControl/>
        <w:tabs>
          <w:tab w:val="left" w:pos="1134"/>
        </w:tabs>
        <w:suppressAutoHyphens w:val="0"/>
        <w:ind w:firstLine="0"/>
        <w:jc w:val="both"/>
        <w:textAlignment w:val="auto"/>
      </w:pPr>
    </w:p>
    <w:p w14:paraId="3B3E3BE0" w14:textId="563628F3" w:rsidR="00860F49" w:rsidRDefault="00277E92" w:rsidP="0070336D">
      <w:pPr>
        <w:widowControl/>
        <w:suppressAutoHyphens w:val="0"/>
        <w:jc w:val="both"/>
        <w:textAlignment w:val="auto"/>
      </w:pPr>
      <w:r>
        <w:t xml:space="preserve">Os bancos são </w:t>
      </w:r>
      <w:r w:rsidR="00F64B6C">
        <w:t xml:space="preserve">instituições </w:t>
      </w:r>
      <w:r>
        <w:t>financeiras que</w:t>
      </w:r>
      <w:r w:rsidR="001E4140">
        <w:t xml:space="preserve"> seguem a regulamentação da </w:t>
      </w:r>
      <w:commentRangeStart w:id="5"/>
      <w:r w:rsidR="00664249" w:rsidRPr="00664249">
        <w:rPr>
          <w:color w:val="FF0000"/>
        </w:rPr>
        <w:t>Lei nº 4.595/1964</w:t>
      </w:r>
      <w:commentRangeEnd w:id="5"/>
      <w:r w:rsidR="00664249">
        <w:rPr>
          <w:rStyle w:val="Refdecomentrio"/>
        </w:rPr>
        <w:commentReference w:id="5"/>
      </w:r>
      <w:r w:rsidR="0002508F" w:rsidRPr="0002508F">
        <w:t xml:space="preserve"> </w:t>
      </w:r>
      <w:r w:rsidR="0002508F">
        <w:t xml:space="preserve">e funcionam como intermediadores </w:t>
      </w:r>
      <w:r w:rsidR="00C2278C" w:rsidRPr="0002508F">
        <w:t xml:space="preserve">entre poupadores </w:t>
      </w:r>
      <w:r w:rsidR="0002508F">
        <w:t>e tomadores de empréstimos</w:t>
      </w:r>
      <w:r w:rsidR="00C2278C" w:rsidRPr="0002508F">
        <w:t xml:space="preserve">, </w:t>
      </w:r>
      <w:r w:rsidR="00C2278C" w:rsidRPr="0002508F">
        <w:lastRenderedPageBreak/>
        <w:t>além d</w:t>
      </w:r>
      <w:r w:rsidR="0002508F">
        <w:t xml:space="preserve">isso também guardam </w:t>
      </w:r>
      <w:r w:rsidR="00C2278C" w:rsidRPr="0002508F">
        <w:t>esse dinheiro</w:t>
      </w:r>
      <w:r w:rsidR="0002508F">
        <w:t>. Entre os principais</w:t>
      </w:r>
      <w:r w:rsidR="00C2278C" w:rsidRPr="0002508F">
        <w:t xml:space="preserve"> serviços financeiros </w:t>
      </w:r>
      <w:r w:rsidR="00711497">
        <w:t xml:space="preserve">oferecidos pelos bancos </w:t>
      </w:r>
      <w:r w:rsidR="00C2278C" w:rsidRPr="0002508F">
        <w:t xml:space="preserve">para os clientes </w:t>
      </w:r>
      <w:r w:rsidR="00711497">
        <w:t xml:space="preserve">estão </w:t>
      </w:r>
      <w:r w:rsidR="00C2278C" w:rsidRPr="0002508F">
        <w:t>saques, empréstimos, investimentos</w:t>
      </w:r>
      <w:r w:rsidR="00711497">
        <w:t xml:space="preserve"> e custódia</w:t>
      </w:r>
      <w:r w:rsidR="004B3E9E">
        <w:t xml:space="preserve"> de dinheiro</w:t>
      </w:r>
      <w:r w:rsidR="00C2278C" w:rsidRPr="0002508F">
        <w:t>.</w:t>
      </w:r>
      <w:r w:rsidR="00711497">
        <w:t xml:space="preserve"> </w:t>
      </w:r>
      <w:r w:rsidR="00453708">
        <w:t xml:space="preserve">A Figura X mostra os </w:t>
      </w:r>
    </w:p>
    <w:p w14:paraId="2F83F268" w14:textId="48EE48BF" w:rsidR="00453708" w:rsidRDefault="00453708" w:rsidP="0070336D">
      <w:pPr>
        <w:widowControl/>
        <w:suppressAutoHyphens w:val="0"/>
        <w:jc w:val="both"/>
        <w:textAlignment w:val="auto"/>
      </w:pPr>
      <w:r>
        <w:t xml:space="preserve">Figura x </w:t>
      </w:r>
      <w:proofErr w:type="gramStart"/>
      <w:r>
        <w:t>-  Modalidades</w:t>
      </w:r>
      <w:proofErr w:type="gramEnd"/>
      <w:r>
        <w:t xml:space="preserve"> de bancos</w:t>
      </w:r>
    </w:p>
    <w:p w14:paraId="69BE12C1" w14:textId="0CF7D192" w:rsidR="007921F9" w:rsidRDefault="001A4EA1" w:rsidP="0070336D">
      <w:pPr>
        <w:widowControl/>
        <w:suppressAutoHyphens w:val="0"/>
        <w:jc w:val="both"/>
        <w:textAlignment w:val="auto"/>
        <w:rPr>
          <w:rFonts w:cs="Times New Roman"/>
          <w:noProof/>
          <w:lang w:eastAsia="pt-BR"/>
        </w:rPr>
      </w:pPr>
      <w:r>
        <w:rPr>
          <w:rFonts w:cs="Times New Roman"/>
          <w:noProof/>
          <w:lang w:eastAsia="pt-BR"/>
        </w:rPr>
        <w:drawing>
          <wp:inline distT="0" distB="0" distL="0" distR="0" wp14:anchorId="2ED29DB1" wp14:editId="6634A701">
            <wp:extent cx="4559300" cy="5492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00" cy="5492750"/>
                    </a:xfrm>
                    <a:prstGeom prst="rect">
                      <a:avLst/>
                    </a:prstGeom>
                    <a:noFill/>
                    <a:ln>
                      <a:noFill/>
                    </a:ln>
                  </pic:spPr>
                </pic:pic>
              </a:graphicData>
            </a:graphic>
          </wp:inline>
        </w:drawing>
      </w:r>
    </w:p>
    <w:p w14:paraId="0A351EE6" w14:textId="16B8453D" w:rsidR="00453708" w:rsidRDefault="00453708" w:rsidP="0070336D">
      <w:pPr>
        <w:widowControl/>
        <w:suppressAutoHyphens w:val="0"/>
        <w:jc w:val="both"/>
        <w:textAlignment w:val="auto"/>
        <w:rPr>
          <w:rFonts w:cs="Times New Roman"/>
          <w:noProof/>
          <w:lang w:eastAsia="pt-BR"/>
        </w:rPr>
      </w:pPr>
      <w:r w:rsidRPr="00453708">
        <w:rPr>
          <w:rFonts w:cs="Times New Roman"/>
          <w:noProof/>
          <w:lang w:eastAsia="pt-BR"/>
        </w:rPr>
        <w:t>https://www.bcb.gov.br/estabilidadefinanceira/bancoscaixaseconomicas</w:t>
      </w:r>
    </w:p>
    <w:p w14:paraId="1CC1D94C" w14:textId="77777777" w:rsidR="00C2278C" w:rsidRPr="00695224" w:rsidRDefault="00C2278C" w:rsidP="0070336D">
      <w:pPr>
        <w:widowControl/>
        <w:suppressAutoHyphens w:val="0"/>
        <w:jc w:val="both"/>
        <w:textAlignment w:val="auto"/>
        <w:rPr>
          <w:rFonts w:cs="Times New Roman"/>
          <w:lang w:eastAsia="pt-BR"/>
        </w:rPr>
      </w:pPr>
    </w:p>
    <w:p w14:paraId="6646E312" w14:textId="0567D020" w:rsidR="003479A8" w:rsidRDefault="00457F30" w:rsidP="0018304F">
      <w:pPr>
        <w:widowControl/>
        <w:suppressAutoHyphens w:val="0"/>
        <w:jc w:val="both"/>
        <w:textAlignment w:val="auto"/>
      </w:pPr>
      <w:r>
        <w:t>D</w:t>
      </w:r>
      <w:r w:rsidR="003479A8">
        <w:t xml:space="preserve">eve-se obter autorização para funcionamento como uma instituição bancária, ou seja, como banco comercial ou de investimento ou, ainda, como banco múltiplo, autorizado a operar com pelo menos duas carteiras operacionais, devendo pelo menos uma delas ser carteira comercial ou de investimento. A categoria de banco digital é autodenominada, como estratégia operacional e mercadológica, tendo como ponto comum entre as instituições que assim se apresentam o relacionamento exclusivamente remoto e diferenciado com os clientes, </w:t>
      </w:r>
      <w:r w:rsidR="003479A8">
        <w:lastRenderedPageBreak/>
        <w:t>normalmente ligado a vantagens e melhores experiências em termos de custos de serviços, facilidade de acesso e integração com outras conveniências e demandas do público.1</w:t>
      </w:r>
    </w:p>
    <w:p w14:paraId="67C2C648" w14:textId="4D9FC5D9" w:rsidR="002C3493" w:rsidRPr="0018304F" w:rsidRDefault="002C3493" w:rsidP="0018304F">
      <w:pPr>
        <w:widowControl/>
        <w:suppressAutoHyphens w:val="0"/>
        <w:jc w:val="both"/>
        <w:textAlignment w:val="auto"/>
        <w:rPr>
          <w:rFonts w:cs="Times New Roman"/>
          <w:lang w:eastAsia="pt-BR"/>
        </w:rPr>
      </w:pPr>
      <w:r>
        <w:t>Não existe, atualmente, regime de autorização e funcionamento específico para bancos digitais, que devem se enquadrar às normas aplicáveis aos demais bancos para fins de autorização. No entanto, algumas instituições financeiras vêm adotando modelos de negócio exclusivamente digitais, optando pela não abertura de agências ou postos de atendimento físicos. Usualmente, esses bancos oferecem abertura de conta simplificada, dispensa ou valor mais baixo de tarifas, maior transparência, melhor experiência do cliente e integração com outros serviços financeiros de natureza complementar ou até serviços não financeiros. Essa estratégia tem sido adotada tanto por grupos empresariais novos, adquirindo uma instituição financeira já autorizada ou entrando com o processo de autorização de uma nova instituição financeira, quanto por conglomerados financeiros já consolidados, que visam a uma maior inserção nesse nicho de mercado de negócio digital.</w:t>
      </w:r>
    </w:p>
    <w:p w14:paraId="679EB436" w14:textId="22A17D81" w:rsidR="00B963FB" w:rsidRDefault="00B963FB" w:rsidP="003D4F06">
      <w:pPr>
        <w:widowControl/>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0285933D" w14:textId="20CD236A" w:rsidR="00614AAB" w:rsidRDefault="00AB101D" w:rsidP="00410D6D">
      <w:pPr>
        <w:pStyle w:val="Subttulo"/>
      </w:pPr>
      <w:commentRangeStart w:id="6"/>
      <w:proofErr w:type="spellStart"/>
      <w:r>
        <w:t>Fintechs</w:t>
      </w:r>
      <w:commentRangeEnd w:id="6"/>
      <w:proofErr w:type="spellEnd"/>
      <w:r w:rsidR="00465C14">
        <w:rPr>
          <w:rStyle w:val="Refdecomentrio"/>
          <w:rFonts w:eastAsia="SimSun"/>
          <w:b w:val="0"/>
        </w:rPr>
        <w:commentReference w:id="6"/>
      </w:r>
    </w:p>
    <w:p w14:paraId="4F6AF5C8" w14:textId="77777777" w:rsidR="007921F9" w:rsidRDefault="007921F9" w:rsidP="007921F9">
      <w:commentRangeStart w:id="7"/>
      <w:r>
        <w:t>Os bancos adotaram o uso de sistemas de informações em seus pacotes de serviço.</w:t>
      </w:r>
    </w:p>
    <w:p w14:paraId="5563CCD3" w14:textId="77777777" w:rsidR="007921F9" w:rsidRDefault="007921F9" w:rsidP="007921F9">
      <w:r>
        <w:t>Atualmente, várias contas possibilitam que os consumidores acessem e realizem</w:t>
      </w:r>
    </w:p>
    <w:p w14:paraId="70B5AC51" w14:textId="77777777" w:rsidR="007921F9" w:rsidRDefault="007921F9" w:rsidP="007921F9">
      <w:r>
        <w:t>movimentações bancárias pelo computador ou com o uso de aplicativos (Costa &amp;</w:t>
      </w:r>
    </w:p>
    <w:p w14:paraId="04A08E53" w14:textId="77777777" w:rsidR="007921F9" w:rsidRDefault="007921F9" w:rsidP="007921F9">
      <w:r>
        <w:t>Carvalho, 2017). Nesse contexto, surgiram as contas digitais, as quais são definidas, de</w:t>
      </w:r>
    </w:p>
    <w:p w14:paraId="1E80B309" w14:textId="77777777" w:rsidR="007921F9" w:rsidRDefault="007921F9" w:rsidP="007921F9">
      <w:r>
        <w:t>acordo com os sites dos bancos selecionados para esse artigo, como uma conta em que</w:t>
      </w:r>
    </w:p>
    <w:p w14:paraId="77836563" w14:textId="4A61328A" w:rsidR="007921F9" w:rsidRPr="007921F9" w:rsidRDefault="007921F9" w:rsidP="007921F9">
      <w:r>
        <w:t>não há interação do consumidor com um funcionário bancário em uma agência física.</w:t>
      </w:r>
      <w:commentRangeEnd w:id="7"/>
      <w:r>
        <w:rPr>
          <w:rStyle w:val="Refdecomentrio"/>
        </w:rPr>
        <w:commentReference w:id="7"/>
      </w:r>
    </w:p>
    <w:p w14:paraId="650EFAC5" w14:textId="6664C306" w:rsidR="00410D6D" w:rsidRDefault="00FA5C38" w:rsidP="00FA5C38">
      <w:pPr>
        <w:jc w:val="both"/>
      </w:pPr>
      <w:commentRangeStart w:id="8"/>
      <w:r w:rsidRPr="00FA5C38">
        <w:t xml:space="preserve">No Brasil, segundo levantamento da </w:t>
      </w:r>
      <w:proofErr w:type="spellStart"/>
      <w:r w:rsidRPr="00FA5C38">
        <w:t>Fintech</w:t>
      </w:r>
      <w:proofErr w:type="spellEnd"/>
      <w:r w:rsidRPr="00FA5C38">
        <w:t xml:space="preserve"> </w:t>
      </w:r>
      <w:proofErr w:type="spellStart"/>
      <w:r w:rsidRPr="00FA5C38">
        <w:t>lab</w:t>
      </w:r>
      <w:proofErr w:type="spellEnd"/>
      <w:r w:rsidRPr="00FA5C38">
        <w:t xml:space="preserve">, até agosto de 2020 já existiam 771 </w:t>
      </w:r>
      <w:proofErr w:type="spellStart"/>
      <w:r w:rsidRPr="00FA5C38">
        <w:t>fintechs</w:t>
      </w:r>
      <w:proofErr w:type="spellEnd"/>
      <w:r w:rsidRPr="00FA5C38">
        <w:t xml:space="preserve">, com um crescimento de 28% em relação a 2019 (FINTECHLAB, 2020). Essas iniciativas representam uma ameaça aos bancos tradicionais, que buscam estratégias de modificação para se aproximarem do modelo das </w:t>
      </w:r>
      <w:proofErr w:type="spellStart"/>
      <w:r w:rsidRPr="00FA5C38">
        <w:t>fintechs</w:t>
      </w:r>
      <w:proofErr w:type="spellEnd"/>
      <w:r w:rsidRPr="00FA5C38">
        <w:t>, tendo a vantagem de possuírem uma base consolidada de clientes rentabilizados, mas com o desafio de adaptar estruturas custosas. O banco digital surge como uma estratégia dos bancos tradicionais de implantar um novo modelo de negócio, propondo iniciativas que aliam tecnologias digitais a serviços financeiros e inova na experiência do cliente (Larsson &amp;</w:t>
      </w:r>
      <w:proofErr w:type="spellStart"/>
      <w:r w:rsidRPr="00FA5C38">
        <w:t>Viitaoja</w:t>
      </w:r>
      <w:proofErr w:type="spellEnd"/>
      <w:r w:rsidRPr="00FA5C38">
        <w:t xml:space="preserve">, 2017; Cook, 2017; </w:t>
      </w:r>
      <w:proofErr w:type="spellStart"/>
      <w:r w:rsidRPr="00FA5C38">
        <w:t>Mbama</w:t>
      </w:r>
      <w:proofErr w:type="spellEnd"/>
      <w:r w:rsidRPr="00FA5C38">
        <w:t xml:space="preserve"> &amp; </w:t>
      </w:r>
      <w:proofErr w:type="spellStart"/>
      <w:r w:rsidRPr="00FA5C38">
        <w:t>Azepue</w:t>
      </w:r>
      <w:proofErr w:type="spellEnd"/>
      <w:r w:rsidRPr="00FA5C38">
        <w:t>, 2018).</w:t>
      </w:r>
      <w:commentRangeEnd w:id="8"/>
      <w:r>
        <w:rPr>
          <w:rStyle w:val="Refdecomentrio"/>
        </w:rPr>
        <w:commentReference w:id="8"/>
      </w:r>
    </w:p>
    <w:p w14:paraId="429A9F09" w14:textId="40D3FEA7" w:rsidR="00277E92" w:rsidRDefault="00277E92" w:rsidP="00FA5C38">
      <w:pPr>
        <w:jc w:val="both"/>
      </w:pPr>
      <w:commentRangeStart w:id="9"/>
    </w:p>
    <w:p w14:paraId="1FDD131A" w14:textId="2E662082" w:rsidR="00277E92" w:rsidRPr="00410D6D" w:rsidRDefault="00277E92" w:rsidP="00FA5C38">
      <w:pPr>
        <w:jc w:val="both"/>
      </w:pPr>
      <w:r w:rsidRPr="00277E92">
        <w:lastRenderedPageBreak/>
        <w:t xml:space="preserve">Assim, foi-se necessário a instauração de uma reforma no sistema de pagamentos, que por meio de várias medidas entre 2001 e 2002, modificou o sistema como um todo, modernizando o Sistema de Pagamentos Brasileiro, diminuiu o risco do país e criou a modalidade de pagamento TED. A evolução de pagamentos também é explicada pelo avanço da tecnologia. Em termos de ilustração, pode-se considerar a compensação de um cheque, que precisaria contar com a deslocação física de uma pessoa até uma agência bancária, que entregaria o cheque para ser então analisado manualmente e só depois compensado pelo banco. O processo era demorado e podia levar até três dias úteis. O avanço da tecnologia, associado à reforma do sistema, permitiu que todos os processos ocorressem de forma muito mais acelerada. As </w:t>
      </w:r>
      <w:proofErr w:type="spellStart"/>
      <w:r w:rsidRPr="00277E92">
        <w:t>fintechs</w:t>
      </w:r>
      <w:proofErr w:type="spellEnd"/>
      <w:r w:rsidRPr="00277E92">
        <w:t>, como os bancos digitais, baseiam-se seus pagamentos inteiramente por meio de aplicativos, no internet banking ou mobile banking, sem a necessidade de deslocamentos físicos ou processos manuais. A implicação destas mudanças é a redução nos custos de operação dos meios de pagamentos e o aumento do volume de transações, pela automatização e dinamismo dos processos atuais.</w:t>
      </w:r>
      <w:commentRangeEnd w:id="9"/>
      <w:r w:rsidR="007921F9">
        <w:rPr>
          <w:rStyle w:val="Refdecomentrio"/>
        </w:rPr>
        <w:commentReference w:id="9"/>
      </w:r>
    </w:p>
    <w:p w14:paraId="75893AB4" w14:textId="0AD96B5C" w:rsidR="00614AAB" w:rsidRPr="00763C95" w:rsidRDefault="00442D72" w:rsidP="00731BBC">
      <w:pPr>
        <w:pStyle w:val="Ttulo1"/>
      </w:pPr>
      <w:r>
        <w:br w:type="page"/>
      </w:r>
      <w:r w:rsidR="00614AAB" w:rsidRPr="00763C95">
        <w:lastRenderedPageBreak/>
        <w:t>REFERÊNCIAS</w:t>
      </w:r>
    </w:p>
    <w:p w14:paraId="2F04F74C" w14:textId="0EC9E6F6" w:rsidR="00B24250" w:rsidRDefault="00B24250" w:rsidP="00B24250">
      <w:pPr>
        <w:pStyle w:val="Corpodetexto"/>
        <w:widowControl/>
        <w:spacing w:after="0" w:line="360" w:lineRule="auto"/>
        <w:ind w:firstLine="0"/>
        <w:jc w:val="both"/>
        <w:rPr>
          <w:rFonts w:cs="Times New Roman"/>
        </w:rPr>
      </w:pPr>
      <w:r w:rsidRPr="00B24250">
        <w:rPr>
          <w:rFonts w:cs="Times New Roman"/>
        </w:rPr>
        <w:t>Luiz Humberto Cavalcante Veiga</w:t>
      </w:r>
      <w:r>
        <w:rPr>
          <w:rFonts w:cs="Times New Roman"/>
        </w:rPr>
        <w:t xml:space="preserve">; </w:t>
      </w:r>
      <w:r w:rsidRPr="00B24250">
        <w:rPr>
          <w:rFonts w:cs="Times New Roman"/>
        </w:rPr>
        <w:t>Andr</w:t>
      </w:r>
      <w:r>
        <w:rPr>
          <w:rFonts w:cs="Times New Roman"/>
        </w:rPr>
        <w:t xml:space="preserve">é </w:t>
      </w:r>
      <w:r w:rsidRPr="00B24250">
        <w:rPr>
          <w:rFonts w:cs="Times New Roman"/>
        </w:rPr>
        <w:t>Lu</w:t>
      </w:r>
      <w:r>
        <w:rPr>
          <w:rFonts w:cs="Times New Roman"/>
        </w:rPr>
        <w:t>í</w:t>
      </w:r>
      <w:r w:rsidRPr="00B24250">
        <w:rPr>
          <w:rFonts w:cs="Times New Roman"/>
        </w:rPr>
        <w:t>s Rossi de Oliveira</w:t>
      </w:r>
      <w:r>
        <w:rPr>
          <w:rFonts w:cs="Times New Roman"/>
        </w:rPr>
        <w:t xml:space="preserve">. </w:t>
      </w:r>
      <w:r w:rsidRPr="00B24250">
        <w:rPr>
          <w:rFonts w:cs="Times New Roman"/>
        </w:rPr>
        <w:t>Diferencia</w:t>
      </w:r>
      <w:r>
        <w:rPr>
          <w:rFonts w:cs="Times New Roman"/>
        </w:rPr>
        <w:t>çã</w:t>
      </w:r>
      <w:r w:rsidRPr="00B24250">
        <w:rPr>
          <w:rFonts w:cs="Times New Roman"/>
        </w:rPr>
        <w:t>o Horizontal e Poder de</w:t>
      </w:r>
      <w:r>
        <w:rPr>
          <w:rFonts w:cs="Times New Roman"/>
        </w:rPr>
        <w:t xml:space="preserve"> </w:t>
      </w:r>
      <w:r w:rsidRPr="00B24250">
        <w:rPr>
          <w:rFonts w:cs="Times New Roman"/>
        </w:rPr>
        <w:t>Mercado: Os Efeitos do E-Banking sobre</w:t>
      </w:r>
      <w:r>
        <w:rPr>
          <w:rFonts w:cs="Times New Roman"/>
        </w:rPr>
        <w:t xml:space="preserve"> </w:t>
      </w:r>
      <w:r w:rsidRPr="00B24250">
        <w:rPr>
          <w:rFonts w:cs="Times New Roman"/>
        </w:rPr>
        <w:t>as Tarifas Banc</w:t>
      </w:r>
      <w:r>
        <w:rPr>
          <w:rFonts w:cs="Times New Roman"/>
        </w:rPr>
        <w:t>á</w:t>
      </w:r>
      <w:r w:rsidRPr="00B24250">
        <w:rPr>
          <w:rFonts w:cs="Times New Roman"/>
        </w:rPr>
        <w:t>rias</w:t>
      </w:r>
      <w:r>
        <w:rPr>
          <w:rFonts w:cs="Times New Roman"/>
        </w:rPr>
        <w:t xml:space="preserve">. </w:t>
      </w:r>
      <w:r w:rsidRPr="00B24250">
        <w:rPr>
          <w:rFonts w:cs="Times New Roman"/>
        </w:rPr>
        <w:t>Revista Economi</w:t>
      </w:r>
      <w:r>
        <w:rPr>
          <w:rFonts w:cs="Times New Roman"/>
        </w:rPr>
        <w:t>a.</w:t>
      </w:r>
      <w:r w:rsidR="00970D24">
        <w:rPr>
          <w:rFonts w:cs="Times New Roman"/>
        </w:rPr>
        <w:t xml:space="preserve"> 2006</w:t>
      </w:r>
      <w:r>
        <w:rPr>
          <w:rFonts w:cs="Times New Roman"/>
        </w:rPr>
        <w:t xml:space="preserve">  </w:t>
      </w:r>
    </w:p>
    <w:p w14:paraId="72AE2D3A" w14:textId="2A7F18B6" w:rsidR="008A468A" w:rsidRDefault="008A468A" w:rsidP="00B24250">
      <w:pPr>
        <w:pStyle w:val="Corpodetexto"/>
        <w:widowControl/>
        <w:spacing w:after="0" w:line="360" w:lineRule="auto"/>
        <w:ind w:firstLine="0"/>
        <w:jc w:val="both"/>
        <w:rPr>
          <w:rFonts w:cs="Times New Roman"/>
        </w:rPr>
      </w:pPr>
      <w:r>
        <w:rPr>
          <w:rFonts w:cs="Times New Roman"/>
        </w:rPr>
        <w:t xml:space="preserve">Banco Central do Brasil. Estudos Especiais do Banco Central: </w:t>
      </w:r>
      <w:proofErr w:type="spellStart"/>
      <w:r>
        <w:rPr>
          <w:rFonts w:cs="Times New Roman"/>
        </w:rPr>
        <w:t>Fintechs</w:t>
      </w:r>
      <w:proofErr w:type="spellEnd"/>
      <w:r>
        <w:rPr>
          <w:rFonts w:cs="Times New Roman"/>
        </w:rPr>
        <w:t xml:space="preserve"> de crédito e bancos digitais. </w:t>
      </w:r>
      <w:r w:rsidRPr="008A468A">
        <w:rPr>
          <w:rFonts w:cs="Times New Roman"/>
        </w:rPr>
        <w:t>Estudo Especial nº 89/2020 – Divulgado originalmente como boxe do Relatório de Economia Bancária (2019)</w:t>
      </w:r>
    </w:p>
    <w:p w14:paraId="68E3C1B3" w14:textId="49EA14EF" w:rsidR="008E4408" w:rsidRDefault="008E4408" w:rsidP="00B24250">
      <w:pPr>
        <w:pStyle w:val="Corpodetexto"/>
        <w:widowControl/>
        <w:spacing w:after="0" w:line="360" w:lineRule="auto"/>
        <w:ind w:firstLine="0"/>
        <w:jc w:val="both"/>
        <w:rPr>
          <w:rFonts w:cs="Times New Roman"/>
        </w:rPr>
      </w:pPr>
      <w:r>
        <w:rPr>
          <w:rFonts w:cs="Times New Roman"/>
        </w:rPr>
        <w:t xml:space="preserve">Banco Central, </w:t>
      </w:r>
      <w:hyperlink r:id="rId13" w:history="1">
        <w:r w:rsidRPr="0070701B">
          <w:rPr>
            <w:rStyle w:val="Hyperlink"/>
            <w:rFonts w:cs="Times New Roman"/>
          </w:rPr>
          <w:t>https://www.bcb.gov.br/estabilidadefinanceira/sfn</w:t>
        </w:r>
      </w:hyperlink>
      <w:r>
        <w:rPr>
          <w:rFonts w:cs="Times New Roman"/>
        </w:rPr>
        <w:t>. 2022</w:t>
      </w:r>
    </w:p>
    <w:p w14:paraId="3E57EED0" w14:textId="6FB6828F" w:rsidR="008E4408" w:rsidRDefault="008E4408" w:rsidP="008E4408">
      <w:pPr>
        <w:pStyle w:val="Corpodetexto"/>
        <w:widowControl/>
        <w:ind w:firstLine="0"/>
        <w:jc w:val="both"/>
        <w:rPr>
          <w:rFonts w:cs="Times New Roman"/>
        </w:rPr>
      </w:pPr>
      <w:r>
        <w:rPr>
          <w:rFonts w:cs="Times New Roman"/>
        </w:rPr>
        <w:t xml:space="preserve">Silva et al, 2016. </w:t>
      </w:r>
      <w:r w:rsidRPr="008E4408">
        <w:rPr>
          <w:rFonts w:cs="Times New Roman"/>
        </w:rPr>
        <w:t>O SISTEMA FINANCEIRO NACIONAL BRASILEIRO: contexto, estrutura e</w:t>
      </w:r>
      <w:r>
        <w:rPr>
          <w:rFonts w:cs="Times New Roman"/>
        </w:rPr>
        <w:t xml:space="preserve"> </w:t>
      </w:r>
      <w:r w:rsidRPr="008E4408">
        <w:rPr>
          <w:rFonts w:cs="Times New Roman"/>
        </w:rPr>
        <w:t>evolução</w:t>
      </w:r>
    </w:p>
    <w:p w14:paraId="616D559E" w14:textId="77777777" w:rsidR="0001318D" w:rsidRDefault="0001318D" w:rsidP="0001318D">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sz w:val="22"/>
          <w:szCs w:val="22"/>
          <w:lang w:eastAsia="pt-BR" w:bidi="ar-SA"/>
        </w:rPr>
      </w:pPr>
      <w:r>
        <w:rPr>
          <w:rFonts w:ascii="TimesNewRomanPSMT" w:eastAsia="Times New Roman" w:hAnsi="TimesNewRomanPSMT" w:cs="TimesNewRomanPSMT"/>
          <w:kern w:val="0"/>
          <w:sz w:val="22"/>
          <w:szCs w:val="22"/>
          <w:lang w:eastAsia="pt-BR" w:bidi="ar-SA"/>
        </w:rPr>
        <w:t xml:space="preserve">Mello, R., </w:t>
      </w:r>
      <w:proofErr w:type="spellStart"/>
      <w:r>
        <w:rPr>
          <w:rFonts w:ascii="TimesNewRomanPSMT" w:eastAsia="Times New Roman" w:hAnsi="TimesNewRomanPSMT" w:cs="TimesNewRomanPSMT"/>
          <w:kern w:val="0"/>
          <w:sz w:val="22"/>
          <w:szCs w:val="22"/>
          <w:lang w:eastAsia="pt-BR" w:bidi="ar-SA"/>
        </w:rPr>
        <w:t>Stal</w:t>
      </w:r>
      <w:proofErr w:type="spellEnd"/>
      <w:r>
        <w:rPr>
          <w:rFonts w:ascii="TimesNewRomanPSMT" w:eastAsia="Times New Roman" w:hAnsi="TimesNewRomanPSMT" w:cs="TimesNewRomanPSMT"/>
          <w:kern w:val="0"/>
          <w:sz w:val="22"/>
          <w:szCs w:val="22"/>
          <w:lang w:eastAsia="pt-BR" w:bidi="ar-SA"/>
        </w:rPr>
        <w:t>, E. &amp; Queiroz, A. (2006). O Banco na Internet: Inovações em Tecnologia da Informação</w:t>
      </w:r>
    </w:p>
    <w:p w14:paraId="47BBAE25" w14:textId="2CD173B1" w:rsidR="0001318D" w:rsidRDefault="0001318D" w:rsidP="0001318D">
      <w:pPr>
        <w:pStyle w:val="Corpodetexto"/>
        <w:widowControl/>
        <w:ind w:firstLine="0"/>
        <w:jc w:val="both"/>
        <w:rPr>
          <w:rFonts w:ascii="TimesNewRomanPSMT" w:eastAsia="Times New Roman" w:hAnsi="TimesNewRomanPSMT" w:cs="TimesNewRomanPSMT"/>
          <w:kern w:val="0"/>
          <w:sz w:val="22"/>
          <w:szCs w:val="22"/>
          <w:lang w:eastAsia="pt-BR" w:bidi="ar-SA"/>
        </w:rPr>
      </w:pPr>
      <w:r>
        <w:rPr>
          <w:rFonts w:ascii="TimesNewRomanPSMT" w:eastAsia="Times New Roman" w:hAnsi="TimesNewRomanPSMT" w:cs="TimesNewRomanPSMT"/>
          <w:kern w:val="0"/>
          <w:sz w:val="22"/>
          <w:szCs w:val="22"/>
          <w:lang w:eastAsia="pt-BR" w:bidi="ar-SA"/>
        </w:rPr>
        <w:t>Moldam Novos Serviços Bancários. 30º Encontro ANPAD. Salvador, p.5-10.</w:t>
      </w:r>
    </w:p>
    <w:p w14:paraId="7A5028DC" w14:textId="703C7EC6" w:rsidR="0009051F" w:rsidRDefault="0009051F" w:rsidP="0001318D">
      <w:pPr>
        <w:pStyle w:val="Corpodetexto"/>
        <w:widowControl/>
        <w:ind w:firstLine="0"/>
        <w:jc w:val="both"/>
        <w:rPr>
          <w:rFonts w:ascii="TimesNewRomanPSMT" w:eastAsia="Times New Roman" w:hAnsi="TimesNewRomanPSMT" w:cs="TimesNewRomanPSMT"/>
          <w:kern w:val="0"/>
          <w:sz w:val="22"/>
          <w:szCs w:val="22"/>
          <w:lang w:eastAsia="pt-BR" w:bidi="ar-SA"/>
        </w:rPr>
      </w:pPr>
    </w:p>
    <w:p w14:paraId="5BD85FB3" w14:textId="77777777" w:rsidR="0009051F" w:rsidRPr="00B24250" w:rsidRDefault="0009051F" w:rsidP="0001318D">
      <w:pPr>
        <w:pStyle w:val="Corpodetexto"/>
        <w:widowControl/>
        <w:ind w:firstLine="0"/>
        <w:jc w:val="both"/>
        <w:rPr>
          <w:rFonts w:cs="Times New Roman"/>
        </w:rPr>
      </w:pPr>
    </w:p>
    <w:sectPr w:rsidR="0009051F" w:rsidRPr="00B24250">
      <w:headerReference w:type="even" r:id="rId14"/>
      <w:headerReference w:type="default" r:id="rId15"/>
      <w:headerReference w:type="first" r:id="rId16"/>
      <w:pgSz w:w="11906" w:h="16838"/>
      <w:pgMar w:top="1701" w:right="1134" w:bottom="1134" w:left="1701" w:header="720" w:footer="720" w:gutter="0"/>
      <w:pgNumType w:start="14"/>
      <w:cols w:space="72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ise Vitoriano" w:date="2022-06-19T19:40:00Z" w:initials="DV">
    <w:p w14:paraId="0340CDF4" w14:textId="77777777" w:rsidR="0062721A" w:rsidRDefault="0062721A">
      <w:pPr>
        <w:pStyle w:val="Textodecomentrio"/>
      </w:pPr>
      <w:r>
        <w:rPr>
          <w:rStyle w:val="Refdecomentrio"/>
        </w:rPr>
        <w:annotationRef/>
      </w:r>
      <w:r>
        <w:rPr>
          <w:color w:val="FF0000"/>
        </w:rPr>
        <w:t xml:space="preserve">Quando surgiu a primeira iniciativa no brasil e inspirada em que? Nos bancos digitais internacionais? Como surgiu? Quais serviços ofereciam tanto os bancos brasileiros quanto os internacionais? E depois o que aconteceu com eles? </w:t>
      </w:r>
    </w:p>
    <w:p w14:paraId="6829B087" w14:textId="77777777" w:rsidR="0062721A" w:rsidRDefault="0062721A">
      <w:pPr>
        <w:pStyle w:val="Textodecomentrio"/>
      </w:pPr>
      <w:r>
        <w:rPr>
          <w:color w:val="FF0000"/>
        </w:rPr>
        <w:t>Por que os bancos digitais surgiram? (comportamento do consumidor!)</w:t>
      </w:r>
    </w:p>
    <w:p w14:paraId="22660F4D" w14:textId="77777777" w:rsidR="0062721A" w:rsidRDefault="0062721A">
      <w:pPr>
        <w:pStyle w:val="Textodecomentrio"/>
      </w:pPr>
      <w:r>
        <w:rPr>
          <w:color w:val="FF0000"/>
        </w:rPr>
        <w:t>Características de um banco digital</w:t>
      </w:r>
    </w:p>
    <w:p w14:paraId="4065C8CD" w14:textId="77777777" w:rsidR="0062721A" w:rsidRDefault="0062721A">
      <w:pPr>
        <w:pStyle w:val="Textodecomentrio"/>
      </w:pPr>
      <w:r>
        <w:rPr>
          <w:color w:val="FF0000"/>
        </w:rPr>
        <w:t>Regulamentação no Brasil</w:t>
      </w:r>
    </w:p>
    <w:p w14:paraId="1BD5336C" w14:textId="77777777" w:rsidR="0062721A" w:rsidRDefault="0062721A">
      <w:pPr>
        <w:pStyle w:val="Textodecomentrio"/>
      </w:pPr>
      <w:r>
        <w:rPr>
          <w:color w:val="FF0000"/>
        </w:rPr>
        <w:t>Linha do tempo dos bancos digitais no Brasil</w:t>
      </w:r>
    </w:p>
    <w:p w14:paraId="5D226CA2" w14:textId="77777777" w:rsidR="0062721A" w:rsidRDefault="0062721A" w:rsidP="004D312A">
      <w:pPr>
        <w:pStyle w:val="Textodecomentrio"/>
      </w:pPr>
      <w:r>
        <w:rPr>
          <w:color w:val="FF0000"/>
        </w:rPr>
        <w:t>Dados/gráficos sobre bancos digitais e fintechs</w:t>
      </w:r>
    </w:p>
  </w:comment>
  <w:comment w:id="1" w:author="Denise Vitoriano" w:date="2022-06-19T19:41:00Z" w:initials="DV">
    <w:p w14:paraId="3FDC913B" w14:textId="77777777" w:rsidR="0062721A" w:rsidRDefault="0062721A" w:rsidP="004778CF">
      <w:pPr>
        <w:pStyle w:val="Textodecomentrio"/>
      </w:pPr>
      <w:r>
        <w:rPr>
          <w:rStyle w:val="Refdecomentrio"/>
        </w:rPr>
        <w:annotationRef/>
      </w:r>
      <w:r>
        <w:t>Seção com os tipos de instituições bancárias</w:t>
      </w:r>
    </w:p>
  </w:comment>
  <w:comment w:id="2" w:author="Denise Vitoriano" w:date="2022-06-19T19:41:00Z" w:initials="DV">
    <w:p w14:paraId="206D1C8F" w14:textId="77777777" w:rsidR="0062721A" w:rsidRDefault="0062721A" w:rsidP="00C273EB">
      <w:pPr>
        <w:pStyle w:val="Textodecomentrio"/>
      </w:pPr>
      <w:r>
        <w:rPr>
          <w:rStyle w:val="Refdecomentrio"/>
        </w:rPr>
        <w:annotationRef/>
      </w:r>
      <w:r>
        <w:t>Seção com estratégia operacional e mercadológica</w:t>
      </w:r>
    </w:p>
  </w:comment>
  <w:comment w:id="3" w:author="Denise Vitoriano" w:date="2022-06-26T12:38:00Z" w:initials="DV">
    <w:p w14:paraId="63A25189" w14:textId="77777777" w:rsidR="0070336D" w:rsidRDefault="0070336D" w:rsidP="00C661A9">
      <w:pPr>
        <w:pStyle w:val="Textodecomentrio"/>
      </w:pPr>
      <w:r>
        <w:rPr>
          <w:rStyle w:val="Refdecomentrio"/>
        </w:rPr>
        <w:annotationRef/>
      </w:r>
      <w:r>
        <w:t>Conselho Monetário Nacional (CMN)  é encarregado de coordenar a política macroecômica nacional, como “a meta para a inflação, as diretrizes para o câmbio e as normas principais para o funcionamento das instituições financeiras, entre outras atribuições”</w:t>
      </w:r>
    </w:p>
  </w:comment>
  <w:comment w:id="5" w:author="Denise Vitoriano" w:date="2022-06-26T15:12:00Z" w:initials="DV">
    <w:p w14:paraId="7C08D074" w14:textId="77777777" w:rsidR="00664249" w:rsidRDefault="00664249" w:rsidP="00A354E9">
      <w:pPr>
        <w:pStyle w:val="Textodecomentrio"/>
      </w:pPr>
      <w:r>
        <w:rPr>
          <w:rStyle w:val="Refdecomentrio"/>
        </w:rPr>
        <w:annotationRef/>
      </w:r>
      <w:r>
        <w:t>Confirmar</w:t>
      </w:r>
    </w:p>
  </w:comment>
  <w:comment w:id="6" w:author="Denise Vitoriano" w:date="2022-06-29T02:00:00Z" w:initials="DV">
    <w:p w14:paraId="291814E1" w14:textId="77777777" w:rsidR="00465C14" w:rsidRDefault="00465C14" w:rsidP="00AC02F0">
      <w:pPr>
        <w:pStyle w:val="Textodecomentrio"/>
      </w:pPr>
      <w:r>
        <w:rPr>
          <w:rStyle w:val="Refdecomentrio"/>
        </w:rPr>
        <w:annotationRef/>
      </w:r>
      <w:r>
        <w:t>os cinco maiores bancos do país acumulam hoje quase 80% dos ativos financeiros do setor.</w:t>
      </w:r>
    </w:p>
  </w:comment>
  <w:comment w:id="7" w:author="Denise Vitoriano" w:date="2022-06-26T14:11:00Z" w:initials="DV">
    <w:p w14:paraId="5F594E30" w14:textId="1BE5C8B1" w:rsidR="007921F9" w:rsidRDefault="007921F9" w:rsidP="00E22256">
      <w:pPr>
        <w:pStyle w:val="Textodecomentrio"/>
      </w:pPr>
      <w:r>
        <w:rPr>
          <w:rStyle w:val="Refdecomentrio"/>
        </w:rPr>
        <w:annotationRef/>
      </w:r>
      <w:r>
        <w:t>2020 dia e costa</w:t>
      </w:r>
    </w:p>
  </w:comment>
  <w:comment w:id="8" w:author="Denise Vitoriano" w:date="2022-06-26T12:54:00Z" w:initials="DV">
    <w:p w14:paraId="20544E5D" w14:textId="00196B2C" w:rsidR="00FA5C38" w:rsidRDefault="00FA5C38" w:rsidP="00F655D2">
      <w:pPr>
        <w:pStyle w:val="Textodecomentrio"/>
      </w:pPr>
      <w:r>
        <w:rPr>
          <w:rStyle w:val="Refdecomentrio"/>
        </w:rPr>
        <w:annotationRef/>
      </w:r>
      <w:r>
        <w:t>2020 - lis et al</w:t>
      </w:r>
    </w:p>
  </w:comment>
  <w:comment w:id="9" w:author="Denise Vitoriano" w:date="2022-06-26T14:10:00Z" w:initials="DV">
    <w:p w14:paraId="6494A854" w14:textId="77777777" w:rsidR="007921F9" w:rsidRDefault="007921F9" w:rsidP="00BA5FE3">
      <w:pPr>
        <w:pStyle w:val="Textodecomentrio"/>
      </w:pPr>
      <w:r>
        <w:rPr>
          <w:rStyle w:val="Refdecomentrio"/>
        </w:rPr>
        <w:annotationRef/>
      </w:r>
      <w:r>
        <w:t>2020 neto e araujo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226CA2" w15:done="0"/>
  <w15:commentEx w15:paraId="3FDC913B" w15:done="0"/>
  <w15:commentEx w15:paraId="206D1C8F" w15:done="0"/>
  <w15:commentEx w15:paraId="63A25189" w15:done="0"/>
  <w15:commentEx w15:paraId="7C08D074" w15:done="0"/>
  <w15:commentEx w15:paraId="291814E1" w15:done="0"/>
  <w15:commentEx w15:paraId="5F594E30" w15:done="0"/>
  <w15:commentEx w15:paraId="20544E5D" w15:done="0"/>
  <w15:commentEx w15:paraId="6494A8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A41" w16cex:dateUtc="2022-06-19T22:40:00Z"/>
  <w16cex:commentExtensible w16cex:durableId="2659FA57" w16cex:dateUtc="2022-06-19T22:41:00Z"/>
  <w16cex:commentExtensible w16cex:durableId="2659FA82" w16cex:dateUtc="2022-06-19T22:41:00Z"/>
  <w16cex:commentExtensible w16cex:durableId="2662D1B5" w16cex:dateUtc="2022-06-26T15:38:00Z"/>
  <w16cex:commentExtensible w16cex:durableId="2662F5D4" w16cex:dateUtc="2022-06-26T18:12:00Z"/>
  <w16cex:commentExtensible w16cex:durableId="266630B4" w16cex:dateUtc="2022-06-29T05:00:00Z"/>
  <w16cex:commentExtensible w16cex:durableId="2662E77F" w16cex:dateUtc="2022-06-26T17:11:00Z"/>
  <w16cex:commentExtensible w16cex:durableId="2662D57A" w16cex:dateUtc="2022-06-26T15:54:00Z"/>
  <w16cex:commentExtensible w16cex:durableId="2662E772" w16cex:dateUtc="2022-06-26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226CA2" w16cid:durableId="2659FA41"/>
  <w16cid:commentId w16cid:paraId="3FDC913B" w16cid:durableId="2659FA57"/>
  <w16cid:commentId w16cid:paraId="206D1C8F" w16cid:durableId="2659FA82"/>
  <w16cid:commentId w16cid:paraId="63A25189" w16cid:durableId="2662D1B5"/>
  <w16cid:commentId w16cid:paraId="7C08D074" w16cid:durableId="2662F5D4"/>
  <w16cid:commentId w16cid:paraId="291814E1" w16cid:durableId="266630B4"/>
  <w16cid:commentId w16cid:paraId="5F594E30" w16cid:durableId="2662E77F"/>
  <w16cid:commentId w16cid:paraId="20544E5D" w16cid:durableId="2662D57A"/>
  <w16cid:commentId w16cid:paraId="6494A854" w16cid:durableId="2662E7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A01E" w14:textId="77777777" w:rsidR="00460CB4" w:rsidRDefault="00460CB4">
      <w:r>
        <w:separator/>
      </w:r>
    </w:p>
  </w:endnote>
  <w:endnote w:type="continuationSeparator" w:id="0">
    <w:p w14:paraId="796DF74D" w14:textId="77777777" w:rsidR="00460CB4" w:rsidRDefault="00460CB4">
      <w:r>
        <w:continuationSeparator/>
      </w:r>
    </w:p>
  </w:endnote>
  <w:endnote w:type="continuationNotice" w:id="1">
    <w:p w14:paraId="68BC9F17" w14:textId="77777777" w:rsidR="00460CB4" w:rsidRDefault="00460C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4860" w14:textId="77777777" w:rsidR="00460CB4" w:rsidRDefault="00460CB4">
      <w:r>
        <w:separator/>
      </w:r>
    </w:p>
  </w:footnote>
  <w:footnote w:type="continuationSeparator" w:id="0">
    <w:p w14:paraId="40C62BB0" w14:textId="77777777" w:rsidR="00460CB4" w:rsidRDefault="00460CB4">
      <w:r>
        <w:continuationSeparator/>
      </w:r>
    </w:p>
  </w:footnote>
  <w:footnote w:type="continuationNotice" w:id="1">
    <w:p w14:paraId="0A22D15D" w14:textId="77777777" w:rsidR="00460CB4" w:rsidRDefault="00460C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E45244"/>
    <w:multiLevelType w:val="hybridMultilevel"/>
    <w:tmpl w:val="FEF48E66"/>
    <w:lvl w:ilvl="0" w:tplc="672684CC">
      <w:start w:val="2"/>
      <w:numFmt w:val="decimal"/>
      <w:pStyle w:val="Ttulo1"/>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4" w15:restartNumberingAfterBreak="0">
    <w:nsid w:val="08596032"/>
    <w:multiLevelType w:val="hybridMultilevel"/>
    <w:tmpl w:val="1B56FC5A"/>
    <w:lvl w:ilvl="0" w:tplc="C7BC04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242A81"/>
    <w:multiLevelType w:val="hybridMultilevel"/>
    <w:tmpl w:val="9B9C3F2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2"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20907211">
    <w:abstractNumId w:val="0"/>
  </w:num>
  <w:num w:numId="2" w16cid:durableId="719017489">
    <w:abstractNumId w:val="1"/>
  </w:num>
  <w:num w:numId="3" w16cid:durableId="1450053194">
    <w:abstractNumId w:val="2"/>
  </w:num>
  <w:num w:numId="4" w16cid:durableId="786047654">
    <w:abstractNumId w:val="12"/>
  </w:num>
  <w:num w:numId="5" w16cid:durableId="555089970">
    <w:abstractNumId w:val="13"/>
  </w:num>
  <w:num w:numId="6" w16cid:durableId="790443902">
    <w:abstractNumId w:val="14"/>
  </w:num>
  <w:num w:numId="7" w16cid:durableId="517159699">
    <w:abstractNumId w:val="8"/>
  </w:num>
  <w:num w:numId="8" w16cid:durableId="2106727252">
    <w:abstractNumId w:val="15"/>
  </w:num>
  <w:num w:numId="9" w16cid:durableId="134615069">
    <w:abstractNumId w:val="6"/>
  </w:num>
  <w:num w:numId="10" w16cid:durableId="624043613">
    <w:abstractNumId w:val="10"/>
  </w:num>
  <w:num w:numId="11" w16cid:durableId="1261912580">
    <w:abstractNumId w:val="4"/>
  </w:num>
  <w:num w:numId="12" w16cid:durableId="1115052104">
    <w:abstractNumId w:val="5"/>
  </w:num>
  <w:num w:numId="13" w16cid:durableId="2004040465">
    <w:abstractNumId w:val="9"/>
  </w:num>
  <w:num w:numId="14" w16cid:durableId="755982271">
    <w:abstractNumId w:val="7"/>
  </w:num>
  <w:num w:numId="15" w16cid:durableId="110363767">
    <w:abstractNumId w:val="3"/>
  </w:num>
  <w:num w:numId="16" w16cid:durableId="126349207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Vitoriano">
    <w15:presenceInfo w15:providerId="Windows Live" w15:userId="ace6abc3cfb64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62"/>
    <w:rsid w:val="0000115C"/>
    <w:rsid w:val="00002615"/>
    <w:rsid w:val="000048C0"/>
    <w:rsid w:val="00005217"/>
    <w:rsid w:val="000060A5"/>
    <w:rsid w:val="000127D9"/>
    <w:rsid w:val="00012A5B"/>
    <w:rsid w:val="0001318D"/>
    <w:rsid w:val="00021E82"/>
    <w:rsid w:val="000242E5"/>
    <w:rsid w:val="000244C5"/>
    <w:rsid w:val="0002508F"/>
    <w:rsid w:val="00027286"/>
    <w:rsid w:val="00027C9A"/>
    <w:rsid w:val="00030022"/>
    <w:rsid w:val="00041A1A"/>
    <w:rsid w:val="0005382E"/>
    <w:rsid w:val="00055761"/>
    <w:rsid w:val="000612F0"/>
    <w:rsid w:val="000821EB"/>
    <w:rsid w:val="00082DD1"/>
    <w:rsid w:val="000832CA"/>
    <w:rsid w:val="00084731"/>
    <w:rsid w:val="0008623A"/>
    <w:rsid w:val="0009051F"/>
    <w:rsid w:val="0009360B"/>
    <w:rsid w:val="00097B16"/>
    <w:rsid w:val="000A2E51"/>
    <w:rsid w:val="000A3353"/>
    <w:rsid w:val="000A3D15"/>
    <w:rsid w:val="000B1DC1"/>
    <w:rsid w:val="000C65C3"/>
    <w:rsid w:val="000D2C4B"/>
    <w:rsid w:val="000D52A9"/>
    <w:rsid w:val="000D63FB"/>
    <w:rsid w:val="000D77E5"/>
    <w:rsid w:val="000E1FE8"/>
    <w:rsid w:val="000E58BC"/>
    <w:rsid w:val="000F2933"/>
    <w:rsid w:val="000F4641"/>
    <w:rsid w:val="000F55E4"/>
    <w:rsid w:val="00105D00"/>
    <w:rsid w:val="0010601F"/>
    <w:rsid w:val="00107A70"/>
    <w:rsid w:val="001105C7"/>
    <w:rsid w:val="00110B26"/>
    <w:rsid w:val="001209AB"/>
    <w:rsid w:val="00134829"/>
    <w:rsid w:val="001365F5"/>
    <w:rsid w:val="00136D70"/>
    <w:rsid w:val="001505E8"/>
    <w:rsid w:val="00157664"/>
    <w:rsid w:val="001612EE"/>
    <w:rsid w:val="00170974"/>
    <w:rsid w:val="00170EBB"/>
    <w:rsid w:val="00172B28"/>
    <w:rsid w:val="001732F4"/>
    <w:rsid w:val="001803EF"/>
    <w:rsid w:val="001814F9"/>
    <w:rsid w:val="0018304F"/>
    <w:rsid w:val="00193235"/>
    <w:rsid w:val="001A2FEB"/>
    <w:rsid w:val="001A31A6"/>
    <w:rsid w:val="001A33D7"/>
    <w:rsid w:val="001A4EA1"/>
    <w:rsid w:val="001B2B0C"/>
    <w:rsid w:val="001B52C6"/>
    <w:rsid w:val="001C2884"/>
    <w:rsid w:val="001C6F8D"/>
    <w:rsid w:val="001E094B"/>
    <w:rsid w:val="001E0FA7"/>
    <w:rsid w:val="001E4140"/>
    <w:rsid w:val="001E6A51"/>
    <w:rsid w:val="001F05BF"/>
    <w:rsid w:val="001F0AC6"/>
    <w:rsid w:val="001F1CA5"/>
    <w:rsid w:val="001F2440"/>
    <w:rsid w:val="001F29A4"/>
    <w:rsid w:val="001F448C"/>
    <w:rsid w:val="001F65F0"/>
    <w:rsid w:val="001F67D3"/>
    <w:rsid w:val="00203CA5"/>
    <w:rsid w:val="00214B33"/>
    <w:rsid w:val="00232594"/>
    <w:rsid w:val="00235291"/>
    <w:rsid w:val="00240505"/>
    <w:rsid w:val="00244083"/>
    <w:rsid w:val="002472A3"/>
    <w:rsid w:val="00250522"/>
    <w:rsid w:val="00250CFA"/>
    <w:rsid w:val="0025182A"/>
    <w:rsid w:val="00252D0A"/>
    <w:rsid w:val="00252D2B"/>
    <w:rsid w:val="00255CE7"/>
    <w:rsid w:val="00261302"/>
    <w:rsid w:val="002614BB"/>
    <w:rsid w:val="0026591F"/>
    <w:rsid w:val="002702B3"/>
    <w:rsid w:val="0027049C"/>
    <w:rsid w:val="002726F1"/>
    <w:rsid w:val="00272B9D"/>
    <w:rsid w:val="00277E92"/>
    <w:rsid w:val="00280151"/>
    <w:rsid w:val="00281822"/>
    <w:rsid w:val="0028539A"/>
    <w:rsid w:val="00285BE5"/>
    <w:rsid w:val="00286554"/>
    <w:rsid w:val="0029159D"/>
    <w:rsid w:val="00294F53"/>
    <w:rsid w:val="002A14EF"/>
    <w:rsid w:val="002A157B"/>
    <w:rsid w:val="002A52E4"/>
    <w:rsid w:val="002A58F9"/>
    <w:rsid w:val="002B135F"/>
    <w:rsid w:val="002B19E2"/>
    <w:rsid w:val="002C0857"/>
    <w:rsid w:val="002C3493"/>
    <w:rsid w:val="002D1611"/>
    <w:rsid w:val="002D7EAA"/>
    <w:rsid w:val="002E6F4E"/>
    <w:rsid w:val="002E75DD"/>
    <w:rsid w:val="002E78DE"/>
    <w:rsid w:val="002F0F9A"/>
    <w:rsid w:val="002F507E"/>
    <w:rsid w:val="002F7584"/>
    <w:rsid w:val="00300CA0"/>
    <w:rsid w:val="003014C7"/>
    <w:rsid w:val="00301B68"/>
    <w:rsid w:val="003128E2"/>
    <w:rsid w:val="00316826"/>
    <w:rsid w:val="00320743"/>
    <w:rsid w:val="003232EC"/>
    <w:rsid w:val="003259FE"/>
    <w:rsid w:val="00332BDF"/>
    <w:rsid w:val="00336317"/>
    <w:rsid w:val="00344C75"/>
    <w:rsid w:val="003470B2"/>
    <w:rsid w:val="003479A8"/>
    <w:rsid w:val="00350B5F"/>
    <w:rsid w:val="003560FA"/>
    <w:rsid w:val="00361438"/>
    <w:rsid w:val="00362C61"/>
    <w:rsid w:val="00372F5C"/>
    <w:rsid w:val="00375284"/>
    <w:rsid w:val="0037747F"/>
    <w:rsid w:val="003914FE"/>
    <w:rsid w:val="003937CF"/>
    <w:rsid w:val="0039622C"/>
    <w:rsid w:val="0039777F"/>
    <w:rsid w:val="003A59C0"/>
    <w:rsid w:val="003A5AB0"/>
    <w:rsid w:val="003B23E0"/>
    <w:rsid w:val="003B7389"/>
    <w:rsid w:val="003C3242"/>
    <w:rsid w:val="003C6643"/>
    <w:rsid w:val="003C7AF2"/>
    <w:rsid w:val="003D2C7B"/>
    <w:rsid w:val="003D4458"/>
    <w:rsid w:val="003D4ABC"/>
    <w:rsid w:val="003D4F06"/>
    <w:rsid w:val="003E1DA6"/>
    <w:rsid w:val="003E4BAC"/>
    <w:rsid w:val="003F3656"/>
    <w:rsid w:val="003F5AFC"/>
    <w:rsid w:val="003F7B3F"/>
    <w:rsid w:val="00402B68"/>
    <w:rsid w:val="00410D6D"/>
    <w:rsid w:val="004228E7"/>
    <w:rsid w:val="00432278"/>
    <w:rsid w:val="00442475"/>
    <w:rsid w:val="00442D72"/>
    <w:rsid w:val="00451132"/>
    <w:rsid w:val="00453708"/>
    <w:rsid w:val="00457F30"/>
    <w:rsid w:val="00460CB4"/>
    <w:rsid w:val="00463202"/>
    <w:rsid w:val="00465C14"/>
    <w:rsid w:val="00471BD6"/>
    <w:rsid w:val="00485261"/>
    <w:rsid w:val="004854B6"/>
    <w:rsid w:val="00485EB6"/>
    <w:rsid w:val="00490A70"/>
    <w:rsid w:val="00492B55"/>
    <w:rsid w:val="004A687C"/>
    <w:rsid w:val="004B3E9E"/>
    <w:rsid w:val="004B5992"/>
    <w:rsid w:val="004C02D0"/>
    <w:rsid w:val="004C0B7F"/>
    <w:rsid w:val="004C33D1"/>
    <w:rsid w:val="004D16D6"/>
    <w:rsid w:val="004D7A7B"/>
    <w:rsid w:val="004D7BFE"/>
    <w:rsid w:val="004E002C"/>
    <w:rsid w:val="004E05D6"/>
    <w:rsid w:val="004E07DB"/>
    <w:rsid w:val="004F187A"/>
    <w:rsid w:val="004F342A"/>
    <w:rsid w:val="004F7308"/>
    <w:rsid w:val="00506606"/>
    <w:rsid w:val="005145F0"/>
    <w:rsid w:val="005151D5"/>
    <w:rsid w:val="005227AB"/>
    <w:rsid w:val="00533D4A"/>
    <w:rsid w:val="0053531F"/>
    <w:rsid w:val="0057354D"/>
    <w:rsid w:val="0057363D"/>
    <w:rsid w:val="00580911"/>
    <w:rsid w:val="00587ACB"/>
    <w:rsid w:val="005A4E0D"/>
    <w:rsid w:val="005A69EB"/>
    <w:rsid w:val="005B0506"/>
    <w:rsid w:val="005B23B4"/>
    <w:rsid w:val="005B2500"/>
    <w:rsid w:val="005C0228"/>
    <w:rsid w:val="005C082D"/>
    <w:rsid w:val="005C0C02"/>
    <w:rsid w:val="005D2E89"/>
    <w:rsid w:val="005D4B5C"/>
    <w:rsid w:val="005D7532"/>
    <w:rsid w:val="005E6CED"/>
    <w:rsid w:val="005E7FC6"/>
    <w:rsid w:val="005F25C0"/>
    <w:rsid w:val="005F5728"/>
    <w:rsid w:val="005F58B5"/>
    <w:rsid w:val="00600A3E"/>
    <w:rsid w:val="006066DE"/>
    <w:rsid w:val="006076C7"/>
    <w:rsid w:val="00614AAB"/>
    <w:rsid w:val="006160E2"/>
    <w:rsid w:val="00623214"/>
    <w:rsid w:val="00623238"/>
    <w:rsid w:val="0062721A"/>
    <w:rsid w:val="00636A5D"/>
    <w:rsid w:val="00642D5B"/>
    <w:rsid w:val="00647962"/>
    <w:rsid w:val="00652C5D"/>
    <w:rsid w:val="00661130"/>
    <w:rsid w:val="00664249"/>
    <w:rsid w:val="00664D56"/>
    <w:rsid w:val="00667AA8"/>
    <w:rsid w:val="00672D5E"/>
    <w:rsid w:val="0068375C"/>
    <w:rsid w:val="006951EC"/>
    <w:rsid w:val="00695224"/>
    <w:rsid w:val="00695E9F"/>
    <w:rsid w:val="00696C1B"/>
    <w:rsid w:val="006A42AA"/>
    <w:rsid w:val="006A4320"/>
    <w:rsid w:val="006A44A9"/>
    <w:rsid w:val="006A56AA"/>
    <w:rsid w:val="006B3151"/>
    <w:rsid w:val="006B3400"/>
    <w:rsid w:val="006B34C5"/>
    <w:rsid w:val="006B695A"/>
    <w:rsid w:val="006C665C"/>
    <w:rsid w:val="006D10BD"/>
    <w:rsid w:val="006D2BBD"/>
    <w:rsid w:val="006D35ED"/>
    <w:rsid w:val="006E23CC"/>
    <w:rsid w:val="006E3B6C"/>
    <w:rsid w:val="006F3776"/>
    <w:rsid w:val="0070336D"/>
    <w:rsid w:val="00706DB4"/>
    <w:rsid w:val="00707850"/>
    <w:rsid w:val="00711497"/>
    <w:rsid w:val="00711966"/>
    <w:rsid w:val="00712A8E"/>
    <w:rsid w:val="00713986"/>
    <w:rsid w:val="00721C35"/>
    <w:rsid w:val="007259A3"/>
    <w:rsid w:val="00731BBC"/>
    <w:rsid w:val="0073417A"/>
    <w:rsid w:val="00734700"/>
    <w:rsid w:val="00735E58"/>
    <w:rsid w:val="007374ED"/>
    <w:rsid w:val="00743C2A"/>
    <w:rsid w:val="007445FD"/>
    <w:rsid w:val="007453C8"/>
    <w:rsid w:val="0074668F"/>
    <w:rsid w:val="00763C95"/>
    <w:rsid w:val="00771A33"/>
    <w:rsid w:val="00772060"/>
    <w:rsid w:val="00775EA9"/>
    <w:rsid w:val="007858F9"/>
    <w:rsid w:val="007865FB"/>
    <w:rsid w:val="00787EFA"/>
    <w:rsid w:val="00791496"/>
    <w:rsid w:val="007921F9"/>
    <w:rsid w:val="00794716"/>
    <w:rsid w:val="007948B6"/>
    <w:rsid w:val="00796B42"/>
    <w:rsid w:val="007A412C"/>
    <w:rsid w:val="007A75F2"/>
    <w:rsid w:val="007B18D0"/>
    <w:rsid w:val="007B5BBB"/>
    <w:rsid w:val="007C2298"/>
    <w:rsid w:val="007D13E7"/>
    <w:rsid w:val="007D3586"/>
    <w:rsid w:val="007E13B7"/>
    <w:rsid w:val="007E31B8"/>
    <w:rsid w:val="00804A5B"/>
    <w:rsid w:val="00805B01"/>
    <w:rsid w:val="0081325A"/>
    <w:rsid w:val="00824785"/>
    <w:rsid w:val="008302B5"/>
    <w:rsid w:val="008344ED"/>
    <w:rsid w:val="00845DC9"/>
    <w:rsid w:val="008500D7"/>
    <w:rsid w:val="00854611"/>
    <w:rsid w:val="00854625"/>
    <w:rsid w:val="00855255"/>
    <w:rsid w:val="00855CA1"/>
    <w:rsid w:val="00856C6D"/>
    <w:rsid w:val="00860302"/>
    <w:rsid w:val="00860AA1"/>
    <w:rsid w:val="00860F49"/>
    <w:rsid w:val="00874AC1"/>
    <w:rsid w:val="008761D9"/>
    <w:rsid w:val="00880210"/>
    <w:rsid w:val="00884334"/>
    <w:rsid w:val="00885178"/>
    <w:rsid w:val="00885EEA"/>
    <w:rsid w:val="008877A5"/>
    <w:rsid w:val="00891B9D"/>
    <w:rsid w:val="0089276B"/>
    <w:rsid w:val="00894414"/>
    <w:rsid w:val="008968C4"/>
    <w:rsid w:val="008A339D"/>
    <w:rsid w:val="008A468A"/>
    <w:rsid w:val="008A7C62"/>
    <w:rsid w:val="008B2663"/>
    <w:rsid w:val="008B68F2"/>
    <w:rsid w:val="008B760E"/>
    <w:rsid w:val="008C34A9"/>
    <w:rsid w:val="008C483C"/>
    <w:rsid w:val="008E3078"/>
    <w:rsid w:val="008E4408"/>
    <w:rsid w:val="008E545E"/>
    <w:rsid w:val="008E7230"/>
    <w:rsid w:val="008F02AF"/>
    <w:rsid w:val="008F3CF7"/>
    <w:rsid w:val="008F68AD"/>
    <w:rsid w:val="00904BF3"/>
    <w:rsid w:val="00906FC2"/>
    <w:rsid w:val="009108C5"/>
    <w:rsid w:val="00911B49"/>
    <w:rsid w:val="00930290"/>
    <w:rsid w:val="00932224"/>
    <w:rsid w:val="00932F3C"/>
    <w:rsid w:val="0093728A"/>
    <w:rsid w:val="00941C73"/>
    <w:rsid w:val="00942D26"/>
    <w:rsid w:val="009453B6"/>
    <w:rsid w:val="009462DF"/>
    <w:rsid w:val="00954989"/>
    <w:rsid w:val="00955F43"/>
    <w:rsid w:val="009629C7"/>
    <w:rsid w:val="00963A43"/>
    <w:rsid w:val="0096601C"/>
    <w:rsid w:val="00970D24"/>
    <w:rsid w:val="00981612"/>
    <w:rsid w:val="00981639"/>
    <w:rsid w:val="00981879"/>
    <w:rsid w:val="009A2496"/>
    <w:rsid w:val="009A4404"/>
    <w:rsid w:val="009A457E"/>
    <w:rsid w:val="009B2ACE"/>
    <w:rsid w:val="009B4E13"/>
    <w:rsid w:val="009B58A6"/>
    <w:rsid w:val="009B7001"/>
    <w:rsid w:val="009C3E2B"/>
    <w:rsid w:val="009D4435"/>
    <w:rsid w:val="009D5EC5"/>
    <w:rsid w:val="009D7313"/>
    <w:rsid w:val="009E5678"/>
    <w:rsid w:val="009E7E22"/>
    <w:rsid w:val="009F00E6"/>
    <w:rsid w:val="00A037EB"/>
    <w:rsid w:val="00A14AA3"/>
    <w:rsid w:val="00A269DC"/>
    <w:rsid w:val="00A27578"/>
    <w:rsid w:val="00A31DB6"/>
    <w:rsid w:val="00A35582"/>
    <w:rsid w:val="00A35E60"/>
    <w:rsid w:val="00A37FD0"/>
    <w:rsid w:val="00A41211"/>
    <w:rsid w:val="00A45142"/>
    <w:rsid w:val="00A54928"/>
    <w:rsid w:val="00A552C8"/>
    <w:rsid w:val="00A6242A"/>
    <w:rsid w:val="00A74776"/>
    <w:rsid w:val="00A765C3"/>
    <w:rsid w:val="00A800A4"/>
    <w:rsid w:val="00A811B7"/>
    <w:rsid w:val="00A915BF"/>
    <w:rsid w:val="00A93FAB"/>
    <w:rsid w:val="00AA1F51"/>
    <w:rsid w:val="00AA437E"/>
    <w:rsid w:val="00AA5AD5"/>
    <w:rsid w:val="00AB101D"/>
    <w:rsid w:val="00AC3206"/>
    <w:rsid w:val="00AC5353"/>
    <w:rsid w:val="00AD58B1"/>
    <w:rsid w:val="00AD7352"/>
    <w:rsid w:val="00AE4469"/>
    <w:rsid w:val="00AF4AF8"/>
    <w:rsid w:val="00AF73E4"/>
    <w:rsid w:val="00B01310"/>
    <w:rsid w:val="00B03B63"/>
    <w:rsid w:val="00B0622E"/>
    <w:rsid w:val="00B24250"/>
    <w:rsid w:val="00B269F2"/>
    <w:rsid w:val="00B27275"/>
    <w:rsid w:val="00B34C4D"/>
    <w:rsid w:val="00B35B9D"/>
    <w:rsid w:val="00B36755"/>
    <w:rsid w:val="00B37F9E"/>
    <w:rsid w:val="00B470BE"/>
    <w:rsid w:val="00B50B0D"/>
    <w:rsid w:val="00B51C96"/>
    <w:rsid w:val="00B52C20"/>
    <w:rsid w:val="00B53B1B"/>
    <w:rsid w:val="00B8145E"/>
    <w:rsid w:val="00B90B81"/>
    <w:rsid w:val="00B920F2"/>
    <w:rsid w:val="00B963FB"/>
    <w:rsid w:val="00BA42B3"/>
    <w:rsid w:val="00BB0D3E"/>
    <w:rsid w:val="00BB1A4D"/>
    <w:rsid w:val="00BB6613"/>
    <w:rsid w:val="00BD47D1"/>
    <w:rsid w:val="00BE18D5"/>
    <w:rsid w:val="00BE66F7"/>
    <w:rsid w:val="00C05032"/>
    <w:rsid w:val="00C13238"/>
    <w:rsid w:val="00C205AF"/>
    <w:rsid w:val="00C2278C"/>
    <w:rsid w:val="00C2353A"/>
    <w:rsid w:val="00C24B20"/>
    <w:rsid w:val="00C25B36"/>
    <w:rsid w:val="00C306F0"/>
    <w:rsid w:val="00C33BE1"/>
    <w:rsid w:val="00C46B65"/>
    <w:rsid w:val="00C4704A"/>
    <w:rsid w:val="00C47286"/>
    <w:rsid w:val="00C51919"/>
    <w:rsid w:val="00C565FF"/>
    <w:rsid w:val="00C65527"/>
    <w:rsid w:val="00C66F5A"/>
    <w:rsid w:val="00C71FAD"/>
    <w:rsid w:val="00C738BD"/>
    <w:rsid w:val="00C74EF1"/>
    <w:rsid w:val="00C75792"/>
    <w:rsid w:val="00C90E24"/>
    <w:rsid w:val="00C962DB"/>
    <w:rsid w:val="00CA219E"/>
    <w:rsid w:val="00CB0819"/>
    <w:rsid w:val="00CB2F47"/>
    <w:rsid w:val="00CC3DE1"/>
    <w:rsid w:val="00CE28A9"/>
    <w:rsid w:val="00CE5B47"/>
    <w:rsid w:val="00CE7955"/>
    <w:rsid w:val="00CE7CF0"/>
    <w:rsid w:val="00CF05DB"/>
    <w:rsid w:val="00CF5CF8"/>
    <w:rsid w:val="00D0049E"/>
    <w:rsid w:val="00D17AE1"/>
    <w:rsid w:val="00D22671"/>
    <w:rsid w:val="00D22BA2"/>
    <w:rsid w:val="00D25C41"/>
    <w:rsid w:val="00D27E6B"/>
    <w:rsid w:val="00D338AA"/>
    <w:rsid w:val="00D34249"/>
    <w:rsid w:val="00D35CBE"/>
    <w:rsid w:val="00D37F48"/>
    <w:rsid w:val="00D4002F"/>
    <w:rsid w:val="00D41C9B"/>
    <w:rsid w:val="00D44D8A"/>
    <w:rsid w:val="00D571C3"/>
    <w:rsid w:val="00D6091C"/>
    <w:rsid w:val="00D64F93"/>
    <w:rsid w:val="00D7509A"/>
    <w:rsid w:val="00D80A9A"/>
    <w:rsid w:val="00D8514B"/>
    <w:rsid w:val="00D8634B"/>
    <w:rsid w:val="00D87663"/>
    <w:rsid w:val="00D87D00"/>
    <w:rsid w:val="00D9001D"/>
    <w:rsid w:val="00D90FF9"/>
    <w:rsid w:val="00D95484"/>
    <w:rsid w:val="00D957F4"/>
    <w:rsid w:val="00D97244"/>
    <w:rsid w:val="00DA175D"/>
    <w:rsid w:val="00DA480D"/>
    <w:rsid w:val="00DB5A76"/>
    <w:rsid w:val="00DC1E54"/>
    <w:rsid w:val="00DC78AE"/>
    <w:rsid w:val="00DE0CE0"/>
    <w:rsid w:val="00DE13DF"/>
    <w:rsid w:val="00DE2F04"/>
    <w:rsid w:val="00DE30AA"/>
    <w:rsid w:val="00DE3DB0"/>
    <w:rsid w:val="00DE3E7D"/>
    <w:rsid w:val="00DE4862"/>
    <w:rsid w:val="00DE4B4C"/>
    <w:rsid w:val="00DF242A"/>
    <w:rsid w:val="00DF309D"/>
    <w:rsid w:val="00DF6040"/>
    <w:rsid w:val="00E03738"/>
    <w:rsid w:val="00E06DA7"/>
    <w:rsid w:val="00E06E07"/>
    <w:rsid w:val="00E10ADF"/>
    <w:rsid w:val="00E131AC"/>
    <w:rsid w:val="00E14E12"/>
    <w:rsid w:val="00E31CDF"/>
    <w:rsid w:val="00E367A3"/>
    <w:rsid w:val="00E40DD8"/>
    <w:rsid w:val="00E43584"/>
    <w:rsid w:val="00E44734"/>
    <w:rsid w:val="00E50690"/>
    <w:rsid w:val="00E6073D"/>
    <w:rsid w:val="00E70422"/>
    <w:rsid w:val="00E764B3"/>
    <w:rsid w:val="00E82E39"/>
    <w:rsid w:val="00E83173"/>
    <w:rsid w:val="00E86797"/>
    <w:rsid w:val="00E879C8"/>
    <w:rsid w:val="00E87CD9"/>
    <w:rsid w:val="00E9083D"/>
    <w:rsid w:val="00E95652"/>
    <w:rsid w:val="00ED240A"/>
    <w:rsid w:val="00ED2731"/>
    <w:rsid w:val="00ED2F6E"/>
    <w:rsid w:val="00ED34DD"/>
    <w:rsid w:val="00ED3AC1"/>
    <w:rsid w:val="00ED45CC"/>
    <w:rsid w:val="00ED6962"/>
    <w:rsid w:val="00ED6A73"/>
    <w:rsid w:val="00EE3B3A"/>
    <w:rsid w:val="00EE6B6E"/>
    <w:rsid w:val="00F022D5"/>
    <w:rsid w:val="00F14531"/>
    <w:rsid w:val="00F162E7"/>
    <w:rsid w:val="00F17BE7"/>
    <w:rsid w:val="00F17F78"/>
    <w:rsid w:val="00F20A20"/>
    <w:rsid w:val="00F21668"/>
    <w:rsid w:val="00F22C8E"/>
    <w:rsid w:val="00F27CF1"/>
    <w:rsid w:val="00F32A26"/>
    <w:rsid w:val="00F33578"/>
    <w:rsid w:val="00F33C4E"/>
    <w:rsid w:val="00F34443"/>
    <w:rsid w:val="00F46CA6"/>
    <w:rsid w:val="00F5022B"/>
    <w:rsid w:val="00F50E30"/>
    <w:rsid w:val="00F540FB"/>
    <w:rsid w:val="00F55E23"/>
    <w:rsid w:val="00F56A30"/>
    <w:rsid w:val="00F5747D"/>
    <w:rsid w:val="00F64B6C"/>
    <w:rsid w:val="00F6759F"/>
    <w:rsid w:val="00F70EA2"/>
    <w:rsid w:val="00F912CC"/>
    <w:rsid w:val="00F91BC5"/>
    <w:rsid w:val="00F97F3F"/>
    <w:rsid w:val="00FA0C0B"/>
    <w:rsid w:val="00FA1F2C"/>
    <w:rsid w:val="00FA5C38"/>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731BBC"/>
    <w:pPr>
      <w:numPr>
        <w:numId w:val="15"/>
      </w:numPr>
      <w:tabs>
        <w:tab w:val="left" w:pos="284"/>
      </w:tabs>
      <w:spacing w:before="0" w:after="0"/>
      <w:ind w:left="0" w:firstLine="0"/>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00818269">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12427691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 w:id="2106925723">
      <w:bodyDiv w:val="1"/>
      <w:marLeft w:val="0"/>
      <w:marRight w:val="0"/>
      <w:marTop w:val="0"/>
      <w:marBottom w:val="0"/>
      <w:divBdr>
        <w:top w:val="none" w:sz="0" w:space="0" w:color="auto"/>
        <w:left w:val="none" w:sz="0" w:space="0" w:color="auto"/>
        <w:bottom w:val="none" w:sz="0" w:space="0" w:color="auto"/>
        <w:right w:val="none" w:sz="0" w:space="0" w:color="auto"/>
      </w:divBdr>
      <w:divsChild>
        <w:div w:id="2131971707">
          <w:marLeft w:val="-225"/>
          <w:marRight w:val="-225"/>
          <w:marTop w:val="0"/>
          <w:marBottom w:val="0"/>
          <w:divBdr>
            <w:top w:val="none" w:sz="0" w:space="0" w:color="auto"/>
            <w:left w:val="none" w:sz="0" w:space="0" w:color="auto"/>
            <w:bottom w:val="none" w:sz="0" w:space="0" w:color="auto"/>
            <w:right w:val="none" w:sz="0" w:space="0" w:color="auto"/>
          </w:divBdr>
          <w:divsChild>
            <w:div w:id="429132370">
              <w:marLeft w:val="0"/>
              <w:marRight w:val="0"/>
              <w:marTop w:val="0"/>
              <w:marBottom w:val="0"/>
              <w:divBdr>
                <w:top w:val="none" w:sz="0" w:space="0" w:color="auto"/>
                <w:left w:val="none" w:sz="0" w:space="0" w:color="auto"/>
                <w:bottom w:val="none" w:sz="0" w:space="0" w:color="auto"/>
                <w:right w:val="none" w:sz="0" w:space="0" w:color="auto"/>
              </w:divBdr>
              <w:divsChild>
                <w:div w:id="441341745">
                  <w:marLeft w:val="0"/>
                  <w:marRight w:val="0"/>
                  <w:marTop w:val="0"/>
                  <w:marBottom w:val="0"/>
                  <w:divBdr>
                    <w:top w:val="none" w:sz="0" w:space="0" w:color="auto"/>
                    <w:left w:val="none" w:sz="0" w:space="0" w:color="auto"/>
                    <w:bottom w:val="none" w:sz="0" w:space="0" w:color="auto"/>
                    <w:right w:val="none" w:sz="0" w:space="0" w:color="auto"/>
                  </w:divBdr>
                  <w:divsChild>
                    <w:div w:id="5007042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cb.gov.br/estabilidadefinanceira/sfn"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1802</Words>
  <Characters>9734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11513</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4</cp:revision>
  <cp:lastPrinted>2021-06-02T16:33:00Z</cp:lastPrinted>
  <dcterms:created xsi:type="dcterms:W3CDTF">2022-06-29T04:59:00Z</dcterms:created>
  <dcterms:modified xsi:type="dcterms:W3CDTF">2022-06-29T05:00:00Z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