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600450" cy="5543550"/>
            <wp:effectExtent l="0" t="0" r="0" b="0"/>
            <wp:docPr id="1073741827" name="officeArt object" descr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fik 1" descr="Grafik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43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</w:p>
    <w:p>
      <w:pPr>
        <w:pStyle w:val="Normal.0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  <w:rtl w:val="0"/>
          <w:lang w:val="de-DE"/>
        </w:rPr>
        <w:t>ZEICHNUNGSSCHEIN</w:t>
      </w:r>
    </w:p>
    <w:p>
      <w:pPr>
        <w:pStyle w:val="Normal.0"/>
        <w:jc w:val="center"/>
        <w:rPr>
          <w:sz w:val="22"/>
          <w:szCs w:val="22"/>
        </w:rPr>
      </w:pPr>
      <w:r>
        <w:rPr>
          <w:rtl w:val="0"/>
          <w:lang w:val="de-DE"/>
        </w:rPr>
        <w:t>Fassung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Deutschland (Juli 2024)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tabs>
          <w:tab w:val="left" w:pos="3589"/>
        </w:tabs>
        <w:rPr>
          <w:sz w:val="22"/>
          <w:szCs w:val="22"/>
        </w:rPr>
      </w:pPr>
    </w:p>
    <w:p>
      <w:pPr>
        <w:pStyle w:val="Normal.0"/>
        <w:tabs>
          <w:tab w:val="left" w:pos="518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.0"/>
        <w:tabs>
          <w:tab w:val="left" w:pos="5180"/>
        </w:tabs>
        <w:rPr>
          <w:sz w:val="22"/>
          <w:szCs w:val="22"/>
        </w:rPr>
      </w:pPr>
    </w:p>
    <w:p>
      <w:pPr>
        <w:pStyle w:val="Normal.0"/>
        <w:tabs>
          <w:tab w:val="left" w:pos="5180"/>
        </w:tabs>
        <w:rPr>
          <w:sz w:val="22"/>
          <w:szCs w:val="22"/>
        </w:rPr>
      </w:pPr>
    </w:p>
    <w:p>
      <w:pPr>
        <w:pStyle w:val="Normal.0"/>
        <w:tabs>
          <w:tab w:val="left" w:pos="5180"/>
        </w:tabs>
        <w:spacing w:after="0" w:line="240" w:lineRule="auto"/>
        <w:jc w:val="center"/>
        <w:rPr>
          <w:sz w:val="22"/>
          <w:szCs w:val="22"/>
        </w:rPr>
      </w:pPr>
    </w:p>
    <w:p>
      <w:pPr>
        <w:pStyle w:val="Normal.0"/>
        <w:tabs>
          <w:tab w:val="left" w:pos="5180"/>
        </w:tabs>
        <w:spacing w:after="0" w:line="240" w:lineRule="auto"/>
        <w:jc w:val="center"/>
        <w:rPr>
          <w:sz w:val="22"/>
          <w:szCs w:val="22"/>
        </w:rPr>
      </w:pPr>
    </w:p>
    <w:p>
      <w:pPr>
        <w:pStyle w:val="Normal.0"/>
        <w:spacing w:after="0" w:line="240" w:lineRule="auto"/>
        <w:jc w:val="center"/>
        <w:rPr>
          <w:rFonts w:ascii="Aptos" w:cs="Aptos" w:hAnsi="Aptos" w:eastAsia="Aptos"/>
          <w:b w:val="1"/>
          <w:bCs w:val="1"/>
          <w:sz w:val="40"/>
          <w:szCs w:val="40"/>
        </w:rPr>
      </w:pPr>
      <w:r>
        <w:rPr>
          <w:rFonts w:ascii="Aptos" w:cs="Aptos" w:hAnsi="Aptos" w:eastAsia="Aptos"/>
          <w:b w:val="1"/>
          <w:bCs w:val="1"/>
          <w:sz w:val="40"/>
          <w:szCs w:val="40"/>
          <w:rtl w:val="0"/>
          <w:lang w:val="de-DE"/>
        </w:rPr>
        <w:t>Zeichnung von SEC-registrierten</w:t>
      </w:r>
    </w:p>
    <w:p>
      <w:pPr>
        <w:pStyle w:val="Normal.0"/>
        <w:spacing w:after="0" w:line="240" w:lineRule="auto"/>
        <w:jc w:val="center"/>
        <w:rPr>
          <w:rFonts w:ascii="Aptos" w:cs="Aptos" w:hAnsi="Aptos" w:eastAsia="Aptos"/>
          <w:b w:val="1"/>
          <w:bCs w:val="1"/>
          <w:sz w:val="16"/>
          <w:szCs w:val="16"/>
        </w:rPr>
      </w:pPr>
      <w:r>
        <w:rPr>
          <w:rFonts w:ascii="Aptos" w:cs="Aptos" w:hAnsi="Aptos" w:eastAsia="Aptos"/>
          <w:b w:val="1"/>
          <w:bCs w:val="1"/>
          <w:sz w:val="40"/>
          <w:szCs w:val="40"/>
          <w:rtl w:val="0"/>
          <w:lang w:val="de-DE"/>
        </w:rPr>
        <w:t>vorb</w:t>
      </w:r>
      <w:r>
        <w:rPr>
          <w:rFonts w:ascii="Aptos" w:cs="Aptos" w:hAnsi="Aptos" w:eastAsia="Aptos"/>
          <w:b w:val="1"/>
          <w:bCs w:val="1"/>
          <w:sz w:val="40"/>
          <w:szCs w:val="40"/>
          <w:rtl w:val="0"/>
          <w:lang w:val="de-DE"/>
        </w:rPr>
        <w:t>ö</w:t>
      </w:r>
      <w:r>
        <w:rPr>
          <w:rFonts w:ascii="Aptos" w:cs="Aptos" w:hAnsi="Aptos" w:eastAsia="Aptos"/>
          <w:b w:val="1"/>
          <w:bCs w:val="1"/>
          <w:sz w:val="40"/>
          <w:szCs w:val="40"/>
          <w:rtl w:val="0"/>
          <w:lang w:val="de-DE"/>
        </w:rPr>
        <w:t>rslichen Wertpapieren der Victorum Capital Inc.</w:t>
      </w:r>
    </w:p>
    <w:p>
      <w:pPr>
        <w:pStyle w:val="Normal.0"/>
        <w:rPr>
          <w:sz w:val="20"/>
          <w:szCs w:val="20"/>
        </w:rPr>
      </w:pPr>
    </w:p>
    <w:p>
      <w:pPr>
        <w:pStyle w:val="Normal.0"/>
        <w:spacing w:after="0"/>
        <w:jc w:val="center"/>
      </w:pPr>
      <w:r>
        <w:rPr>
          <w:rtl w:val="0"/>
          <w:lang w:val="de-DE"/>
        </w:rPr>
        <w:t xml:space="preserve">Die Emittierung, die Registrierung, die Regulierung sowie der Verkauf </w:t>
      </w:r>
    </w:p>
    <w:p>
      <w:pPr>
        <w:pStyle w:val="Normal.0"/>
        <w:spacing w:after="0"/>
        <w:jc w:val="center"/>
      </w:pPr>
      <w:r>
        <w:rPr>
          <w:rtl w:val="0"/>
          <w:lang w:val="de-DE"/>
        </w:rPr>
        <w:t xml:space="preserve">der Wertpapiere der Victorum Capital Inc. erfolgt entsprechend den </w:t>
      </w:r>
    </w:p>
    <w:p>
      <w:pPr>
        <w:pStyle w:val="Normal.0"/>
        <w:spacing w:after="0"/>
        <w:jc w:val="center"/>
        <w:rPr>
          <w:sz w:val="22"/>
          <w:szCs w:val="22"/>
        </w:rPr>
      </w:pPr>
      <w:r>
        <w:rPr>
          <w:rtl w:val="0"/>
          <w:lang w:val="de-DE"/>
        </w:rPr>
        <w:t>Richtlinien der US-B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rsenaufsicht SEC sowie der deutschen BaFin.</w:t>
      </w:r>
    </w:p>
    <w:p>
      <w:pPr>
        <w:pStyle w:val="Normal.0"/>
        <w:rPr>
          <w:sz w:val="22"/>
          <w:szCs w:val="22"/>
        </w:rPr>
      </w:pPr>
    </w:p>
    <w:p>
      <w:pPr>
        <w:pStyle w:val="Normal.0"/>
      </w:pPr>
    </w:p>
    <w:p>
      <w:pPr>
        <w:pStyle w:val="Normal.0"/>
        <w:jc w:val="both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Registernummer: SHA -</w:t>
      </w:r>
      <w:r>
        <w:rPr>
          <w:rtl w:val="0"/>
          <w:lang w:val="de-DE"/>
        </w:rPr>
        <w:t xml:space="preserve"> (wird nach 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cksendung zugeteilt)</w:t>
      </w:r>
    </w:p>
    <w:p>
      <w:pPr>
        <w:pStyle w:val="Normal.0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4119879</wp:posOffset>
                </wp:positionH>
                <wp:positionV relativeFrom="line">
                  <wp:posOffset>292100</wp:posOffset>
                </wp:positionV>
                <wp:extent cx="247650" cy="238125"/>
                <wp:effectExtent l="0" t="0" r="0" b="0"/>
                <wp:wrapNone/>
                <wp:docPr id="1073741828" name="officeArt object" descr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24.4pt;margin-top:23.0pt;width:19.5pt;height:18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Aptos" w:cs="Aptos" w:hAnsi="Aptos" w:eastAsia="Aptos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line">
                  <wp:posOffset>282575</wp:posOffset>
                </wp:positionV>
                <wp:extent cx="247650" cy="238125"/>
                <wp:effectExtent l="0" t="0" r="0" b="0"/>
                <wp:wrapNone/>
                <wp:docPr id="1073741829" name="officeArt object" descr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90.1pt;margin-top:22.2pt;width:19.5pt;height:18.8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Personenbezogene Daten:</w:t>
        <w:tab/>
        <w:tab/>
        <w:t xml:space="preserve">    Neuzeichnung</w:t>
        <w:tab/>
        <w:t xml:space="preserve">               Bestandsaktion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ä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r</w:t>
      </w:r>
    </w:p>
    <w:p>
      <w:pPr>
        <w:pStyle w:val="Normal.0"/>
        <w:rPr>
          <w:rFonts w:ascii="Aptos" w:cs="Aptos" w:hAnsi="Aptos" w:eastAsia="Aptos"/>
          <w:b w:val="1"/>
          <w:bCs w:val="1"/>
        </w:rPr>
      </w:pPr>
    </w:p>
    <w:p>
      <w:pPr>
        <w:pStyle w:val="Normal.0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Mustermann</w:t>
      </w:r>
    </w:p>
    <w:p>
      <w:pPr>
        <w:pStyle w:val="Normal.0"/>
        <w:rPr>
          <w:rFonts w:ascii="Aptos" w:cs="Aptos" w:hAnsi="Aptos" w:eastAsia="Aptos"/>
          <w:b w:val="1"/>
          <w:bCs w:val="1"/>
        </w:rPr>
      </w:pPr>
    </w:p>
    <w:p>
      <w:pPr>
        <w:pStyle w:val="Normal.0"/>
        <w:rPr>
          <w:rFonts w:ascii="Aptos" w:cs="Aptos" w:hAnsi="Aptos" w:eastAsia="Aptos"/>
          <w:b w:val="1"/>
          <w:bCs w:val="1"/>
        </w:rPr>
      </w:pPr>
      <w:bookmarkStart w:name="_MON_1786196775" w:id="0"/>
      <w:r>
        <w:rPr>
          <w:rFonts w:ascii="Aptos" w:cs="Aptos" w:hAnsi="Aptos" w:eastAsia="Aptos"/>
          <w:b w:val="1"/>
          <w:bCs w:val="1"/>
        </w:rPr>
        <w:drawing xmlns:a="http://schemas.openxmlformats.org/drawingml/2006/main">
          <wp:inline distT="0" distB="0" distL="0" distR="0">
            <wp:extent cx="5756783" cy="867604"/>
            <wp:effectExtent l="0" t="0" r="0" b="0"/>
            <wp:docPr id="1073741830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df" descr="image2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867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line">
                  <wp:posOffset>282575</wp:posOffset>
                </wp:positionV>
                <wp:extent cx="247650" cy="238125"/>
                <wp:effectExtent l="0" t="0" r="0" b="0"/>
                <wp:wrapNone/>
                <wp:docPr id="1073741831" name="officeArt object" descr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91.2pt;margin-top:22.2pt;width:19.5pt;height:18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Aptos" w:cs="Aptos" w:hAnsi="Aptos" w:eastAsia="Aptos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line">
                  <wp:posOffset>278765</wp:posOffset>
                </wp:positionV>
                <wp:extent cx="247650" cy="238125"/>
                <wp:effectExtent l="0" t="0" r="0" b="0"/>
                <wp:wrapNone/>
                <wp:docPr id="1073741832" name="officeArt object" descr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25.4pt;margin-top:22.0pt;width:19.5pt;height:18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tl w:val="0"/>
          <w:lang w:val="de-DE"/>
        </w:rPr>
        <w:t>Ich,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ufer, zeichne und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bernehme hiermit auf</w:t>
      </w:r>
    </w:p>
    <w:p>
      <w:pPr>
        <w:pStyle w:val="Normal.0"/>
        <w:ind w:left="2124" w:firstLine="0"/>
      </w:pPr>
      <w:r>
        <w:rPr>
          <w:rtl w:val="0"/>
          <w:lang w:val="de-DE"/>
        </w:rPr>
        <w:t xml:space="preserve">     Eigene Rechnung</w:t>
        <w:tab/>
        <w:tab/>
        <w:t xml:space="preserve"> auf fremde Rechnung</w:t>
      </w:r>
    </w:p>
    <w:p>
      <w:pPr>
        <w:pStyle w:val="Normal.0"/>
        <w:ind w:left="2124" w:firstLine="0"/>
      </w:pPr>
    </w:p>
    <w:p>
      <w:pPr>
        <w:pStyle w:val="Normal.0"/>
      </w:pPr>
      <w:r>
        <w:rPr>
          <w:rtl w:val="0"/>
          <w:lang w:val="de-DE"/>
        </w:rPr>
        <w:t>Nach Ma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gabe der Bezugsbedingungen die nachfolgend genannte Anzahl an Aktien:</w:t>
      </w:r>
    </w:p>
    <w:p>
      <w:pPr>
        <w:pStyle w:val="Normal.0"/>
      </w:pPr>
      <w:bookmarkEnd w:id="0"/>
    </w:p>
    <w:p>
      <w:pPr>
        <w:pStyle w:val="Normal.0"/>
      </w:pPr>
      <w:bookmarkStart w:name="_MON_1786197066" w:id="1"/>
      <w:r>
        <w:drawing xmlns:a="http://schemas.openxmlformats.org/drawingml/2006/main">
          <wp:inline distT="0" distB="0" distL="0" distR="0">
            <wp:extent cx="5756783" cy="736293"/>
            <wp:effectExtent l="0" t="0" r="0" b="0"/>
            <wp:docPr id="1073741833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3.pdf" descr="image3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736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de-DE"/>
        </w:rPr>
        <w:t xml:space="preserve"> 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Pr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ä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ambel</w:t>
      </w:r>
    </w:p>
    <w:p>
      <w:pPr>
        <w:pStyle w:val="Normal.0"/>
        <w:jc w:val="both"/>
      </w:pPr>
      <w:r>
        <w:rPr>
          <w:rtl w:val="0"/>
          <w:lang w:val="de-DE"/>
        </w:rPr>
        <w:t>Zwischen dem auf der Vorseite genannten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 (nachfolgend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 xml:space="preserve">) und der Victorum Capital Inc., 2102-58 Keefer Pl., Vancouver Z4V6B 0B6, Canada (nachfolgend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 xml:space="preserve">) wird der folgende Vertrag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den Erwerb von Wertpapieren geschlossen.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erhalb Nordamerikas und Deutschlands unterliegen die Wertpapiere der Victorum Capital Inc. dem jeweiligen Landesrecht.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Kunden, welche Ihren Wohnsitz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erhalb der EU haben, ist dieser Zeichnungsschein nicht zugelassen.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1</w:t>
      </w:r>
    </w:p>
    <w:p>
      <w:pPr>
        <w:pStyle w:val="Normal.0"/>
        <w:jc w:val="both"/>
      </w:pPr>
      <w:r>
        <w:rPr>
          <w:rtl w:val="0"/>
          <w:lang w:val="de-DE"/>
        </w:rPr>
        <w:t>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erwirbt die angegebene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ckzahl/ Aktienmenge Inhaberaktien (nachfolgend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Wertpapiere") der Victorum Capital Inc. durch den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zum angegebenen Bezugspreis und Gesamtkaufpreis. Der Kaufpreis wird vollst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oder in Teilbetr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gen vom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 bis zum _________ auf das weiter unten in diesem Vertrag ausgewiesene Firmenkonto. Hierbei anfallende Kosten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bernimmt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vollst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ndig.</w:t>
      </w:r>
    </w:p>
    <w:p>
      <w:pPr>
        <w:pStyle w:val="Normal.0"/>
        <w:jc w:val="both"/>
      </w:pPr>
      <w:r>
        <w:rPr>
          <w:rtl w:val="0"/>
          <w:lang w:val="de-DE"/>
        </w:rPr>
        <w:t>Transferiert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den Kaufpreis bis zum _________ nicht vollst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auf das in diesem Vertrag im Anhang aufgef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hrte Konto, so wird nachfolgende Regelung vereinbart:</w:t>
      </w:r>
    </w:p>
    <w:p>
      <w:pPr>
        <w:pStyle w:val="Normal.0"/>
        <w:jc w:val="both"/>
      </w:pPr>
      <w:r>
        <w:rPr>
          <w:rtl w:val="0"/>
          <w:lang w:val="de-DE"/>
        </w:rPr>
        <w:t>Bis zu diesem Zeitpunkt bezahlte Wertpapiere verbleiben im Besitz des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ufers. Nicht bezahlte Wertpapiere werden an den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ckgegeben. Die durch diese Retournierung entstehenden Kosten in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he von 490 CAD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bernimmt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vollst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ndig. Anschlie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end hat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keine weiteren Verpflichtungen gegen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dem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2</w:t>
      </w:r>
    </w:p>
    <w:p>
      <w:pPr>
        <w:pStyle w:val="Normal.0"/>
        <w:jc w:val="both"/>
      </w:pPr>
      <w:r>
        <w:rPr>
          <w:rtl w:val="0"/>
          <w:lang w:val="de-DE"/>
        </w:rPr>
        <w:t>Die Transaktion der Wertpapiere unterliegt verschiedenen Jurisdiktionen mit unter-schiedlichen Regulierungen und Registrierungsprozessen. Die Emittierung, die Registrierung sowie die Regulierung der Wertpapiere der Victorum Capital Inc. erfolgt nach US-B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rsenrecht konform der Rule 506 der Regulation D der US-B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rsenaufsicht SEC (United States Securities and Exchange Commission).</w:t>
      </w:r>
    </w:p>
    <w:p>
      <w:pPr>
        <w:pStyle w:val="Normal.0"/>
        <w:jc w:val="both"/>
      </w:pPr>
      <w:r>
        <w:rPr>
          <w:rtl w:val="0"/>
          <w:lang w:val="de-DE"/>
        </w:rPr>
        <w:t>Der Verkauf der Wertpapiere in Deutschland erfolgt gem</w:t>
      </w:r>
      <w:r>
        <w:rPr>
          <w:rtl w:val="0"/>
          <w:lang w:val="de-DE"/>
        </w:rPr>
        <w:t xml:space="preserve">äß </w:t>
      </w:r>
      <w:r>
        <w:rPr>
          <w:rtl w:val="0"/>
          <w:lang w:val="de-DE"/>
        </w:rPr>
        <w:t>der BaFin (Bundesanstalt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Finanzdienstleistungsaufsicht) Richtlinie Art.1 Abs. 4 lit. b) Prospekt-VO der EU-Prospekt-verordnung. 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3</w:t>
      </w:r>
    </w:p>
    <w:p>
      <w:pPr>
        <w:pStyle w:val="Normal.0"/>
        <w:jc w:val="both"/>
      </w:pPr>
      <w:r>
        <w:rPr>
          <w:rtl w:val="0"/>
          <w:lang w:val="de-DE"/>
        </w:rPr>
        <w:t>Alle auf die Wertpapiere entfallenden Aussch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ttungen und Rechte stehen ab dem Zeitpunkt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bertragung ausschlie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lich des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ufers der Wertpapiere oder der vom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ausdr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cklich angegebenen zu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bertragenden Person/en und/oder Gesellschaft zu.</w:t>
      </w:r>
    </w:p>
    <w:p>
      <w:pPr>
        <w:pStyle w:val="Normal.0"/>
        <w:jc w:val="both"/>
      </w:pPr>
      <w:r>
        <w:rPr>
          <w:rtl w:val="0"/>
          <w:lang w:val="de-DE"/>
        </w:rPr>
        <w:t>Die Parteien sind sich einig, dass das Eigentum der Wertpapiere von der Gesellschaft auf den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bergeht und dass es sich bei diesen Wertpapieren um nennwertlose Common Restricted Class A Shares mit vollem Stimmrecht und Dividendenbezugsberechtigung handelt.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4</w:t>
      </w:r>
    </w:p>
    <w:p>
      <w:pPr>
        <w:pStyle w:val="Normal.0"/>
        <w:jc w:val="both"/>
      </w:pPr>
      <w:r>
        <w:rPr>
          <w:rtl w:val="0"/>
          <w:lang w:val="de-DE"/>
        </w:rPr>
        <w:t>Beide Parteien sind einverstanden, dass der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dem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als neuem Eigent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mer die Wertpapiere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gt und dies den Zeitpunkt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bergabe definiert.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bertrag geschieht, basierend auf kanadischem Recht, auf elektronischem Weg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die Integral Transfer Agency Shareholder Services Inc., 100 Queen St E, Suite 203, Toronto, ON, M5C 1S6, Canada, Phone: (416) 623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tl w:val="0"/>
          <w:lang w:val="de-DE"/>
        </w:rPr>
        <w:t>8028 / Fax: (647) 794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tl w:val="0"/>
          <w:lang w:val="de-DE"/>
        </w:rPr>
        <w:t>3332, https://www.integraltransfer.com / mailto:info@integraltransfer.com.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5</w:t>
      </w:r>
    </w:p>
    <w:p>
      <w:pPr>
        <w:pStyle w:val="Normal.0"/>
        <w:jc w:val="both"/>
      </w:pPr>
      <w:r>
        <w:rPr>
          <w:rtl w:val="0"/>
          <w:lang w:val="de-DE"/>
        </w:rPr>
        <w:t>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chte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seine erworbenen Wertpapiere vor dem 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rsengang der Victorum Capital Inc. ver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ern, so ist der Aktion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 beim Verkauf an einen Dritten angehalten,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Sorge zu tragen, dass die Wertpapiere tats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chlich an den Erwerber und damit den neuen Aktion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 werden. 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hat in diesem Fall eine besondere Sorge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zu tragen, dass auf den Erwerber auch eventuell vorhandene Stimm- und Dividendenrechte, entsprechend den gesetzlichen Richtlinien des Landes in dem der neue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ans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ssig ist,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 werden.</w:t>
      </w:r>
    </w:p>
    <w:p>
      <w:pPr>
        <w:pStyle w:val="Normal.0"/>
        <w:jc w:val="both"/>
      </w:pPr>
      <w:r>
        <w:rPr>
          <w:rtl w:val="0"/>
          <w:lang w:val="de-DE"/>
        </w:rPr>
        <w:t>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haftet gegen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der Victorum Capital Inc. und/oder dem neuen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der Wertpapiere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entstandene Sch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den, die durch Verst</w:t>
      </w:r>
      <w:r>
        <w:rPr>
          <w:rtl w:val="0"/>
          <w:lang w:val="de-DE"/>
        </w:rPr>
        <w:t>öß</w:t>
      </w:r>
      <w:r>
        <w:rPr>
          <w:rtl w:val="0"/>
          <w:lang w:val="de-DE"/>
        </w:rPr>
        <w:t>e gegen einen dieser Paragrafen zustande kommen.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6</w:t>
      </w:r>
    </w:p>
    <w:p>
      <w:pPr>
        <w:pStyle w:val="Normal.0"/>
        <w:jc w:val="both"/>
      </w:pPr>
      <w:r>
        <w:rPr>
          <w:rtl w:val="0"/>
          <w:lang w:val="de-DE"/>
        </w:rPr>
        <w:t>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nimmt zur Kenntnis, dass die Victorum Capital Inc. als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aufgrund des Sorgfaltspflichtgesetzes verpflichtet ist, die 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des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ufers zu 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fen und mittels Kopie eines amtlichen Lichtbildausweises und eines Wohnortnachweises in den Akten festzuhalten.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7</w:t>
      </w:r>
    </w:p>
    <w:p>
      <w:pPr>
        <w:pStyle w:val="Normal.0"/>
        <w:jc w:val="both"/>
      </w:pPr>
      <w:r>
        <w:rPr>
          <w:rtl w:val="0"/>
          <w:lang w:val="de-DE"/>
        </w:rPr>
        <w:t>Der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tigt, dass er</w:t>
      </w:r>
    </w:p>
    <w:p>
      <w:pPr>
        <w:pStyle w:val="List Paragraph"/>
        <w:numPr>
          <w:ilvl w:val="0"/>
          <w:numId w:val="2"/>
        </w:numPr>
        <w:jc w:val="both"/>
        <w:rPr>
          <w:lang w:val="de-DE"/>
        </w:rPr>
      </w:pPr>
      <w:r>
        <w:rPr>
          <w:rtl w:val="0"/>
          <w:lang w:val="de-DE"/>
        </w:rPr>
        <w:t>an den eingebrachten Verm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genswerten selbst wirtschaftlich Berechtigter ist</w:t>
      </w:r>
    </w:p>
    <w:p>
      <w:pPr>
        <w:pStyle w:val="List Paragraph"/>
        <w:numPr>
          <w:ilvl w:val="0"/>
          <w:numId w:val="2"/>
        </w:numPr>
        <w:jc w:val="both"/>
        <w:rPr>
          <w:lang w:val="de-DE"/>
        </w:rPr>
      </w:pPr>
      <w:r>
        <w:rPr>
          <w:rtl w:val="0"/>
          <w:lang w:val="de-DE"/>
        </w:rPr>
        <w:t>die eingebrachten Verm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genswerte nicht aus illegalen Aktivit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ten stammen</w:t>
      </w:r>
    </w:p>
    <w:p>
      <w:pPr>
        <w:pStyle w:val="List Paragraph"/>
        <w:numPr>
          <w:ilvl w:val="0"/>
          <w:numId w:val="2"/>
        </w:numPr>
        <w:jc w:val="both"/>
        <w:rPr>
          <w:lang w:val="de-DE"/>
        </w:rPr>
      </w:pPr>
      <w:r>
        <w:rPr>
          <w:rtl w:val="0"/>
          <w:lang w:val="de-DE"/>
        </w:rPr>
        <w:t xml:space="preserve">er als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Qualified Investor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gem</w:t>
      </w:r>
      <w:r>
        <w:rPr>
          <w:rtl w:val="0"/>
          <w:lang w:val="de-DE"/>
        </w:rPr>
        <w:t xml:space="preserve">äß </w:t>
      </w:r>
      <w:r>
        <w:rPr>
          <w:rtl w:val="0"/>
          <w:lang w:val="de-DE"/>
        </w:rPr>
        <w:t>der SEC Rule 506 (c) Regulation D handelt, sofern er die Wertpapiere nicht als institutioneller Investor erwirbt.</w:t>
      </w:r>
    </w:p>
    <w:p>
      <w:pPr>
        <w:pStyle w:val="List Paragraph"/>
        <w:numPr>
          <w:ilvl w:val="0"/>
          <w:numId w:val="2"/>
        </w:numPr>
        <w:jc w:val="both"/>
        <w:rPr>
          <w:lang w:val="de-DE"/>
        </w:rPr>
      </w:pPr>
      <w:r>
        <w:rPr>
          <w:rtl w:val="0"/>
          <w:lang w:val="de-DE"/>
        </w:rPr>
        <w:t xml:space="preserve">er als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Qualified Investor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gem</w:t>
      </w:r>
      <w:r>
        <w:rPr>
          <w:rtl w:val="0"/>
          <w:lang w:val="de-DE"/>
        </w:rPr>
        <w:t xml:space="preserve">äß </w:t>
      </w:r>
      <w:r>
        <w:rPr>
          <w:rtl w:val="0"/>
          <w:lang w:val="de-DE"/>
        </w:rPr>
        <w:t>der BaFin Richtlinie zu qualifizierten Anleger gem</w:t>
      </w:r>
      <w:r>
        <w:rPr>
          <w:rtl w:val="0"/>
          <w:lang w:val="de-DE"/>
        </w:rPr>
        <w:t xml:space="preserve">äß </w:t>
      </w:r>
      <w:r>
        <w:rPr>
          <w:rtl w:val="0"/>
          <w:lang w:val="de-DE"/>
        </w:rPr>
        <w:t>dem Anhang II Abschnitt I und II der MiFID II handelt, sofern er die Wertpapiere nicht als institutioneller Investor erwirbt.</w:t>
      </w:r>
    </w:p>
    <w:p>
      <w:pPr>
        <w:pStyle w:val="Normal.0"/>
        <w:jc w:val="both"/>
      </w:pPr>
      <w:r>
        <w:rPr>
          <w:rtl w:val="0"/>
          <w:lang w:val="de-DE"/>
        </w:rPr>
        <w:t>Der Verk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 garantiert, dass die an den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 zu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bertragenden Aktien frei von Rechten Dritter sind und ohne Vorbehalt an den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 werden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</w:t>
      </w:r>
    </w:p>
    <w:p>
      <w:pPr>
        <w:pStyle w:val="Normal.0"/>
        <w:jc w:val="center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8</w:t>
      </w:r>
    </w:p>
    <w:p>
      <w:pPr>
        <w:pStyle w:val="Normal.0"/>
        <w:jc w:val="both"/>
      </w:pPr>
      <w:r>
        <w:rPr>
          <w:rtl w:val="0"/>
          <w:lang w:val="de-DE"/>
        </w:rPr>
        <w:t>Wenn einzelne Bestimmungen dieses Vertrages ganz oder teilweise unwirksam sein sollten oder werden oder wenn sich in dem Vertrag eine Regelungsl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befindet, so einigen sich die Parteien darauf, dass dadurch die G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ltigkeit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brigen Bestimmungen nicht ber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 werden. Anstelle der unwirksamen Bestimmungen oder zur Ausf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llung der Regelungsl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soll eine angemessene Regelung gelten, die, soweit rechtlich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glich, dem am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chsten kommt, was die Parteien nach dem Sinn und Zweck dieses Vertrages gewollt haben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rden, wenn sie die Unwirksamkeit der Bestimmung oder das Vorliegen einer Regelungsl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bedacht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tten.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nderungen dieses Vertrages, auch Nebenabsprachen, bed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rfen der Schriftform.</w:t>
      </w:r>
    </w:p>
    <w:p>
      <w:pPr>
        <w:pStyle w:val="Normal.0"/>
        <w:jc w:val="center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§</w:t>
      </w:r>
      <w:r>
        <w:rPr>
          <w:rFonts w:ascii="Aptos" w:cs="Aptos" w:hAnsi="Aptos" w:eastAsia="Aptos"/>
          <w:b w:val="1"/>
          <w:bCs w:val="1"/>
          <w:rtl w:val="0"/>
          <w:lang w:val="de-DE"/>
        </w:rPr>
        <w:t>9</w:t>
      </w:r>
    </w:p>
    <w:p>
      <w:pPr>
        <w:pStyle w:val="Normal.0"/>
        <w:jc w:val="both"/>
      </w:pPr>
      <w:r>
        <w:rPr>
          <w:rtl w:val="0"/>
          <w:lang w:val="de-DE"/>
        </w:rPr>
        <w:t>Da dieser Vertrag mit deutschen Investoren einer kanadischen Firma zustande kommt, gilt als Gerichtsstand Vancouver, Kanada.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T R A N S F E R D A T E N</w:t>
      </w:r>
    </w:p>
    <w:p>
      <w:pPr>
        <w:pStyle w:val="Normal.0"/>
        <w:jc w:val="both"/>
      </w:pPr>
      <w:r>
        <w:rPr>
          <w:rtl w:val="0"/>
          <w:lang w:val="de-DE"/>
        </w:rPr>
        <w:t>Mit der Durchf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hrung,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berwachung und Zuweisung der Wertpapiere ist unsere Compliance verantwortlich. Bitte richten Sie Ihre Fragen zur Zeichnung oder zur Wertpapierzuweisung an: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Victorum Capital Inc.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Compliance Department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2102-58 Keefer Pl.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 xml:space="preserve">Vancouver Z4V6B 0B6 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Canada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de-DE"/>
        </w:rPr>
        <w:t>Bitte transferieren Sie die in diesem Vertrag vereinbarte Summe und nutzen Sie die folgende Bankverbindung: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EMPF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NGER: VICTORUM CAPITAL SERVICES LIMITED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EMPF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NGER ADRESSE: 2/3 48 West George Street, G2 1BP,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Glasgow, United Kingdom</w:t>
      </w:r>
    </w:p>
    <w:p>
      <w:pPr>
        <w:pStyle w:val="Normal.0"/>
        <w:jc w:val="both"/>
      </w:pP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IBAN: GB15 REVO 0099 6950 0836 06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BIC: REVOGB21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INTERMEDIARY BIC: CHASDEFX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BANK: Revolut Ltd.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BANK ADRESSE: 7 Westferry Circus, E14 4HD, London,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United Kingdom</w:t>
      </w:r>
    </w:p>
    <w:p>
      <w:pPr>
        <w:pStyle w:val="Normal.0"/>
        <w:spacing w:after="0" w:line="276" w:lineRule="auto"/>
        <w:ind w:left="708" w:firstLine="0"/>
        <w:jc w:val="both"/>
      </w:pPr>
      <w:r>
        <w:rPr>
          <w:rtl w:val="0"/>
          <w:lang w:val="de-DE"/>
        </w:rPr>
        <w:t>VERWENDUNGSZWECK: Ihr Name + Ihr Nachname + Ihr Geburtsdatum</w:t>
      </w:r>
    </w:p>
    <w:p>
      <w:pPr>
        <w:pStyle w:val="Normal.0"/>
        <w:tabs>
          <w:tab w:val="left" w:pos="3533"/>
        </w:tabs>
        <w:jc w:val="both"/>
      </w:pPr>
    </w:p>
    <w:p>
      <w:pPr>
        <w:pStyle w:val="Normal.0"/>
        <w:tabs>
          <w:tab w:val="left" w:pos="3533"/>
        </w:tabs>
        <w:jc w:val="both"/>
      </w:pPr>
    </w:p>
    <w:p>
      <w:pPr>
        <w:pStyle w:val="Normal.0"/>
        <w:tabs>
          <w:tab w:val="left" w:pos="3533"/>
        </w:tabs>
        <w:jc w:val="both"/>
      </w:pPr>
      <w:r>
        <w:rPr>
          <w:rtl w:val="0"/>
          <w:lang w:val="de-DE"/>
        </w:rPr>
        <w:t>Unterschriften</w:t>
      </w:r>
    </w:p>
    <w:p>
      <w:pPr>
        <w:pStyle w:val="Normal.0"/>
        <w:tabs>
          <w:tab w:val="left" w:pos="3533"/>
        </w:tabs>
        <w:jc w:val="both"/>
      </w:pPr>
    </w:p>
    <w:p>
      <w:pPr>
        <w:pStyle w:val="Normal.0"/>
        <w:tabs>
          <w:tab w:val="left" w:pos="3533"/>
        </w:tabs>
        <w:jc w:val="both"/>
      </w:pPr>
    </w:p>
    <w:p>
      <w:pPr>
        <w:pStyle w:val="Normal.0"/>
        <w:tabs>
          <w:tab w:val="left" w:pos="3533"/>
        </w:tabs>
        <w:jc w:val="both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3191348</wp:posOffset>
                </wp:positionH>
                <wp:positionV relativeFrom="line">
                  <wp:posOffset>267335</wp:posOffset>
                </wp:positionV>
                <wp:extent cx="2581682" cy="0"/>
                <wp:effectExtent l="0" t="0" r="0" b="0"/>
                <wp:wrapNone/>
                <wp:docPr id="1073741834" name="officeArt object" descr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68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51.3pt;margin-top:21.0pt;width:203.3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-104937</wp:posOffset>
                </wp:positionH>
                <wp:positionV relativeFrom="line">
                  <wp:posOffset>266065</wp:posOffset>
                </wp:positionV>
                <wp:extent cx="2481171" cy="0"/>
                <wp:effectExtent l="0" t="0" r="0" b="0"/>
                <wp:wrapNone/>
                <wp:docPr id="1073741835" name="officeArt object" descr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17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8.3pt;margin-top:21.0pt;width:195.4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tabs>
          <w:tab w:val="left" w:pos="3533"/>
        </w:tabs>
      </w:pPr>
      <w:r>
        <w:rPr>
          <w:rtl w:val="0"/>
          <w:lang w:val="de-DE"/>
        </w:rPr>
        <w:t xml:space="preserve">Ort / Datum / Victorum Capital Inc. </w:t>
        <w:tab/>
        <w:tab/>
        <w:t xml:space="preserve">   Ort / Datum / Unterschrift des K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ufers</w:t>
      </w:r>
      <w:bookmarkEnd w:id="1"/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17" w:right="1417" w:bottom="1134" w:left="1417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tos">
    <w:charset w:val="00"/>
    <w:family w:val="roman"/>
    <w:pitch w:val="default"/>
  </w:font>
  <w:font w:name="Helvetica Neue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bidi w:val="0"/>
      <w:ind w:left="0" w:right="0" w:firstLine="0"/>
      <w:jc w:val="center"/>
      <w:rPr>
        <w:sz w:val="18"/>
        <w:szCs w:val="18"/>
        <w:shd w:val="nil" w:color="auto" w:fill="auto"/>
        <w:rtl w:val="0"/>
        <w:lang w:val="de-DE"/>
      </w:rPr>
    </w:pPr>
    <w:r>
      <w:rPr>
        <w:sz w:val="24"/>
        <w:szCs w:val="24"/>
        <w:shd w:val="nil" w:color="auto" w:fill="auto"/>
        <w:rtl w:val="0"/>
        <w:lang w:val="de-DE"/>
      </w:rPr>
      <w:t>VICTORUM CAPITAL INC.</w:t>
      <w:tab/>
      <w:t>2102-58 Keefer Pl.</w:t>
      <w:tab/>
      <w:t>T: +1 604-260-0738</w:t>
      <w:tab/>
    </w:r>
    <w:r>
      <w:rPr>
        <w:sz w:val="18"/>
        <w:szCs w:val="18"/>
        <w:shd w:val="nil" w:color="auto" w:fill="auto"/>
        <w:rtl w:val="0"/>
        <w:lang w:val="de-DE"/>
      </w:rPr>
      <w:t>ISIN: CA92642D1024</w:t>
    </w:r>
  </w:p>
  <w:p>
    <w:pPr>
      <w:pStyle w:val="footer"/>
      <w:bidi w:val="0"/>
      <w:ind w:left="0" w:right="0" w:firstLine="0"/>
      <w:jc w:val="center"/>
      <w:rPr>
        <w:sz w:val="18"/>
        <w:szCs w:val="18"/>
        <w:shd w:val="nil" w:color="auto" w:fill="auto"/>
        <w:rtl w:val="0"/>
        <w:lang w:val="de-DE"/>
      </w:rPr>
    </w:pPr>
    <w:r>
      <w:rPr>
        <w:sz w:val="24"/>
        <w:szCs w:val="24"/>
        <w:shd w:val="nil" w:color="auto" w:fill="auto"/>
        <w:rtl w:val="0"/>
        <w:lang w:val="de-DE"/>
      </w:rPr>
      <w:t>Reg.-Nr: 021-405684</w:t>
      <w:tab/>
      <w:t>Vancouver Z4V6B 0B6</w:t>
      <w:tab/>
      <w:t xml:space="preserve">M: </w:t>
    </w:r>
    <w:r>
      <w:rPr>
        <w:rStyle w:val="Hyperlink.0"/>
        <w:outline w:val="0"/>
        <w:color w:val="000000"/>
        <w:sz w:val="24"/>
        <w:szCs w:val="24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fldChar w:fldCharType="begin" w:fldLock="0"/>
    </w:r>
    <w:r>
      <w:rPr>
        <w:rStyle w:val="Hyperlink.0"/>
        <w:outline w:val="0"/>
        <w:color w:val="000000"/>
        <w:sz w:val="24"/>
        <w:szCs w:val="24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instrText xml:space="preserve"> HYPERLINK "mailto:info@victorum.group"</w:instrText>
    </w:r>
    <w:r>
      <w:rPr>
        <w:rStyle w:val="Hyperlink.0"/>
        <w:outline w:val="0"/>
        <w:color w:val="000000"/>
        <w:sz w:val="24"/>
        <w:szCs w:val="24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fldChar w:fldCharType="separate" w:fldLock="0"/>
    </w:r>
    <w:r>
      <w:rPr>
        <w:rStyle w:val="Hyperlink.0"/>
        <w:outline w:val="0"/>
        <w:color w:val="000000"/>
        <w:sz w:val="24"/>
        <w:szCs w:val="24"/>
        <w:u w:val="none" w:color="000000"/>
        <w:shd w:val="nil" w:color="auto" w:fill="auto"/>
        <w:rtl w:val="0"/>
        <w:lang w:val="de-DE"/>
        <w14:textFill>
          <w14:solidFill>
            <w14:srgbClr w14:val="000000"/>
          </w14:solidFill>
        </w14:textFill>
      </w:rPr>
      <w:t>info@victorum.group</w:t>
    </w:r>
    <w:r>
      <w:rPr>
        <w:sz w:val="18"/>
        <w:szCs w:val="18"/>
      </w:rPr>
      <w:fldChar w:fldCharType="end" w:fldLock="0"/>
    </w:r>
    <w:r>
      <w:rPr>
        <w:sz w:val="24"/>
        <w:szCs w:val="24"/>
      </w:rPr>
      <w:tab/>
    </w:r>
    <w:r>
      <w:rPr>
        <w:sz w:val="18"/>
        <w:szCs w:val="18"/>
        <w:shd w:val="nil" w:color="auto" w:fill="auto"/>
        <w:rtl w:val="0"/>
        <w:lang w:val="de-DE"/>
      </w:rPr>
      <w:t>CUSIP: 92642D102</w:t>
    </w:r>
  </w:p>
  <w:p>
    <w:pPr>
      <w:pStyle w:val="footer"/>
      <w:bidi w:val="0"/>
      <w:ind w:left="0" w:right="0" w:firstLine="0"/>
      <w:jc w:val="center"/>
      <w:rPr>
        <w:sz w:val="18"/>
        <w:szCs w:val="18"/>
        <w:shd w:val="nil" w:color="auto" w:fill="auto"/>
        <w:rtl w:val="0"/>
        <w:lang w:val="de-DE"/>
      </w:rPr>
    </w:pPr>
    <w:r>
      <w:rPr>
        <w:sz w:val="24"/>
        <w:szCs w:val="24"/>
        <w:shd w:val="nil" w:color="auto" w:fill="auto"/>
        <w:rtl w:val="0"/>
        <w:lang w:val="de-DE"/>
      </w:rPr>
      <w:t>British Columbia / Kanada</w:t>
      <w:tab/>
      <w:t>Kanada</w:t>
      <w:tab/>
    </w:r>
    <w:r>
      <w:rPr>
        <w:sz w:val="18"/>
        <w:szCs w:val="18"/>
        <w:shd w:val="nil" w:color="auto" w:fill="auto"/>
        <w:rtl w:val="0"/>
        <w:lang w:val="de-DE"/>
      </w:rPr>
      <w:t xml:space="preserve">W. </w:t>
    </w:r>
    <w:r>
      <w:rPr>
        <w:rStyle w:val="Hyperlink.1"/>
        <w:outline w:val="0"/>
        <w:color w:val="000000"/>
        <w:sz w:val="18"/>
        <w:szCs w:val="18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fldChar w:fldCharType="begin" w:fldLock="0"/>
    </w:r>
    <w:r>
      <w:rPr>
        <w:rStyle w:val="Hyperlink.1"/>
        <w:outline w:val="0"/>
        <w:color w:val="000000"/>
        <w:sz w:val="18"/>
        <w:szCs w:val="18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instrText xml:space="preserve"> HYPERLINK "http://www.victorum-caputal.com"</w:instrText>
    </w:r>
    <w:r>
      <w:rPr>
        <w:rStyle w:val="Hyperlink.1"/>
        <w:outline w:val="0"/>
        <w:color w:val="000000"/>
        <w:sz w:val="18"/>
        <w:szCs w:val="18"/>
        <w:u w:val="none" w:color="000000"/>
        <w:shd w:val="nil" w:color="auto" w:fill="auto"/>
        <w:lang w:val="de-DE"/>
        <w14:textFill>
          <w14:solidFill>
            <w14:srgbClr w14:val="000000"/>
          </w14:solidFill>
        </w14:textFill>
      </w:rPr>
      <w:fldChar w:fldCharType="separate" w:fldLock="0"/>
    </w:r>
    <w:r>
      <w:rPr>
        <w:rStyle w:val="Hyperlink.1"/>
        <w:outline w:val="0"/>
        <w:color w:val="000000"/>
        <w:sz w:val="18"/>
        <w:szCs w:val="18"/>
        <w:u w:val="none" w:color="000000"/>
        <w:shd w:val="nil" w:color="auto" w:fill="auto"/>
        <w:rtl w:val="0"/>
        <w:lang w:val="de-DE"/>
        <w14:textFill>
          <w14:solidFill>
            <w14:srgbClr w14:val="000000"/>
          </w14:solidFill>
        </w14:textFill>
      </w:rPr>
      <w:t>www.victorum-caputal.com</w:t>
    </w:r>
    <w:r>
      <w:rPr>
        <w:sz w:val="18"/>
        <w:szCs w:val="18"/>
      </w:rPr>
      <w:fldChar w:fldCharType="end" w:fldLock="0"/>
    </w:r>
    <w:r>
      <w:rPr>
        <w:sz w:val="18"/>
        <w:szCs w:val="18"/>
        <w:shd w:val="nil" w:color="auto" w:fill="auto"/>
        <w:rtl w:val="0"/>
        <w:lang w:val="de-DE"/>
      </w:rPr>
      <w:t xml:space="preserve"> </w:t>
      <w:tab/>
    </w:r>
  </w:p>
  <w:p>
    <w:pPr>
      <w:pStyle w:val="footer"/>
      <w:bidi w:val="0"/>
      <w:ind w:left="0" w:right="0" w:firstLine="0"/>
      <w:jc w:val="center"/>
      <w:rPr>
        <w:rtl w:val="0"/>
      </w:rPr>
    </w:pPr>
    <w:r>
      <w:rPr>
        <w:sz w:val="18"/>
        <w:szCs w:val="18"/>
        <w:shd w:val="nil" w:color="auto" w:fill="auto"/>
        <w:lang w:val="de-DE"/>
      </w:rPr>
      <w:tab/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585943</wp:posOffset>
              </wp:positionH>
              <wp:positionV relativeFrom="page">
                <wp:posOffset>9941560</wp:posOffset>
              </wp:positionV>
              <wp:extent cx="6487669" cy="0"/>
              <wp:effectExtent l="0" t="0" r="0" b="0"/>
              <wp:wrapNone/>
              <wp:docPr id="1073741826" name="officeArt object" descr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7669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46.1pt;margin-top:782.8pt;width:510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 xmlns:a="http://schemas.openxmlformats.org/drawingml/2006/main">
        <wp:inline distT="0" distB="0" distL="0" distR="0">
          <wp:extent cx="2511187" cy="579079"/>
          <wp:effectExtent l="0" t="0" r="0" b="0"/>
          <wp:docPr id="1073741825" name="officeArt object" descr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Grafik 2" descr="Grafik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1187" cy="57907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467886"/>
      <w:u w:val="single" w:color="467886"/>
      <w14:textFill>
        <w14:solidFill>
          <w14:srgbClr w14:val="467886"/>
        </w14:solidFill>
      </w14:textFill>
    </w:rPr>
  </w:style>
  <w:style w:type="character" w:styleId="Hyperlink.0">
    <w:name w:val="Hyperlink.0"/>
    <w:basedOn w:val="Ссылка"/>
    <w:next w:val="Hyperlink.0"/>
    <w:rPr>
      <w:outline w:val="0"/>
      <w:color w:val="000000"/>
      <w:sz w:val="24"/>
      <w:szCs w:val="24"/>
      <w:u w:val="none" w:color="000000"/>
      <w:shd w:val="nil" w:color="auto" w:fill="auto"/>
      <w:lang w:val="de-DE"/>
      <w14:textFill>
        <w14:solidFill>
          <w14:srgbClr w14:val="000000"/>
        </w14:solidFill>
      </w14:textFill>
    </w:rPr>
  </w:style>
  <w:style w:type="character" w:styleId="Hyperlink.1">
    <w:name w:val="Hyperlink.1"/>
    <w:basedOn w:val="Ссылка"/>
    <w:next w:val="Hyperlink.1"/>
    <w:rPr>
      <w:outline w:val="0"/>
      <w:color w:val="000000"/>
      <w:u w:val="none" w:color="000000"/>
      <w:shd w:val="nil" w:color="auto" w:fill="auto"/>
      <w:lang w:val="de-DE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