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2F7C1" w14:textId="610D3839" w:rsidR="00620EA1" w:rsidRPr="00620EA1" w:rsidRDefault="00620EA1" w:rsidP="00620EA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u w:val="single"/>
          <w:lang w:eastAsia="en-IN"/>
        </w:rPr>
      </w:pPr>
      <w:r w:rsidRPr="00620EA1">
        <w:rPr>
          <w:rFonts w:ascii="Arial" w:eastAsia="Times New Roman" w:hAnsi="Arial" w:cs="Arial"/>
          <w:b/>
          <w:bCs/>
          <w:kern w:val="36"/>
          <w:u w:val="single"/>
          <w:lang w:eastAsia="en-IN"/>
        </w:rPr>
        <w:t>Invention</w:t>
      </w:r>
      <w:r w:rsidRPr="00620EA1">
        <w:rPr>
          <w:rFonts w:ascii="Arial" w:eastAsia="Times New Roman" w:hAnsi="Arial" w:cs="Arial"/>
          <w:b/>
          <w:bCs/>
          <w:kern w:val="36"/>
          <w:u w:val="single"/>
          <w:lang w:eastAsia="en-IN"/>
        </w:rPr>
        <w:t xml:space="preserve"> Disclosure Write-up</w:t>
      </w:r>
    </w:p>
    <w:p w14:paraId="5777702B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620EA1">
        <w:rPr>
          <w:rFonts w:ascii="Arial" w:eastAsia="Times New Roman" w:hAnsi="Arial" w:cs="Arial"/>
          <w:b/>
          <w:bCs/>
          <w:lang w:eastAsia="en-IN"/>
        </w:rPr>
        <w:t>Title of the Invention</w:t>
      </w:r>
    </w:p>
    <w:p w14:paraId="1C16FF49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An Array-Based Backlight Scheme with Alternate Switching of Day and NVG LEDs for Direct and Edge Lighting Applications</w:t>
      </w:r>
    </w:p>
    <w:p w14:paraId="3E9732F2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620EA1">
        <w:rPr>
          <w:rFonts w:ascii="Arial" w:eastAsia="Times New Roman" w:hAnsi="Arial" w:cs="Arial"/>
          <w:b/>
          <w:bCs/>
          <w:lang w:eastAsia="en-IN"/>
        </w:rPr>
        <w:t>Field of the Invention</w:t>
      </w:r>
    </w:p>
    <w:p w14:paraId="498A4F3F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present invention relates to backlight architectures for display systems, particularly for dual-mode day and Night Vision Goggle (NVG) compatible LCD displays. More specifically, the invention relates to a single printed circuit board (PCB)-based LED array supporting alternate switching of day and NVG LEDs, applicable to both direct lighting and edge lighting schemes, while maintaining uniform luminance and common mechanical real estate.</w:t>
      </w:r>
    </w:p>
    <w:p w14:paraId="0BE0BD7B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620EA1">
        <w:rPr>
          <w:rFonts w:ascii="Arial" w:eastAsia="Times New Roman" w:hAnsi="Arial" w:cs="Arial"/>
          <w:b/>
          <w:bCs/>
          <w:lang w:eastAsia="en-IN"/>
        </w:rPr>
        <w:t>Background of the Invention</w:t>
      </w:r>
    </w:p>
    <w:p w14:paraId="47D1BEA5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Displays used in avionics, defence, and mission-critical applications are required to operate in both:</w:t>
      </w:r>
    </w:p>
    <w:p w14:paraId="548BAB2A" w14:textId="77777777" w:rsidR="00620EA1" w:rsidRPr="00620EA1" w:rsidRDefault="00620EA1" w:rsidP="00620E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Day mode, with high luminance output, and</w:t>
      </w:r>
    </w:p>
    <w:p w14:paraId="0D324154" w14:textId="77777777" w:rsidR="00620EA1" w:rsidRPr="00620EA1" w:rsidRDefault="00620EA1" w:rsidP="00620E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NVG mode, with controlled luminance and spectral compatibility</w:t>
      </w:r>
    </w:p>
    <w:p w14:paraId="5C00E98A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Conventional implementations typically use:</w:t>
      </w:r>
    </w:p>
    <w:p w14:paraId="2A0C2B8D" w14:textId="77777777" w:rsidR="00620EA1" w:rsidRPr="00620EA1" w:rsidRDefault="00620EA1" w:rsidP="00620E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Separate PCBs for day and NVG LEDs, or</w:t>
      </w:r>
    </w:p>
    <w:p w14:paraId="2FEF8096" w14:textId="77777777" w:rsidR="00620EA1" w:rsidRPr="00620EA1" w:rsidRDefault="00620EA1" w:rsidP="00620E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Dedicated backlight assemblies for direct and edge lighting schemes</w:t>
      </w:r>
    </w:p>
    <w:p w14:paraId="1224D575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Such approaches lead to:</w:t>
      </w:r>
    </w:p>
    <w:p w14:paraId="2A1DB09D" w14:textId="77777777" w:rsidR="00620EA1" w:rsidRPr="00620EA1" w:rsidRDefault="00620EA1" w:rsidP="00620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Increased PCB area and component count</w:t>
      </w:r>
    </w:p>
    <w:p w14:paraId="500D38F9" w14:textId="77777777" w:rsidR="00620EA1" w:rsidRPr="00620EA1" w:rsidRDefault="00620EA1" w:rsidP="00620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Complex mechanical layouts</w:t>
      </w:r>
    </w:p>
    <w:p w14:paraId="264F7C4E" w14:textId="77777777" w:rsidR="00620EA1" w:rsidRPr="00620EA1" w:rsidRDefault="00620EA1" w:rsidP="00620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Challenges in maintaining luminance uniformity</w:t>
      </w:r>
    </w:p>
    <w:p w14:paraId="526079A0" w14:textId="77777777" w:rsidR="00620EA1" w:rsidRPr="00620EA1" w:rsidRDefault="00620EA1" w:rsidP="00620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Redundant hardware for different lighting modes</w:t>
      </w:r>
    </w:p>
    <w:p w14:paraId="5A26DF4B" w14:textId="77777777" w:rsidR="00620EA1" w:rsidRPr="00620EA1" w:rsidRDefault="00620EA1" w:rsidP="00620E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Increased cost, weight, and design complexity</w:t>
      </w:r>
    </w:p>
    <w:p w14:paraId="205116DE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There exists a need for a unified backlight scheme that supports both day and NVG modes using a single PCB and shared real estate, while being adaptable to both direct and edge lighting configurations.</w:t>
      </w:r>
    </w:p>
    <w:p w14:paraId="745A7CD9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620EA1">
        <w:rPr>
          <w:rFonts w:ascii="Arial" w:eastAsia="Times New Roman" w:hAnsi="Arial" w:cs="Arial"/>
          <w:b/>
          <w:bCs/>
          <w:lang w:eastAsia="en-IN"/>
        </w:rPr>
        <w:t>Summary of the Invention</w:t>
      </w:r>
    </w:p>
    <w:p w14:paraId="4E74754F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present invention discloses a backlight array architecture in which day LEDs and NVG LEDs are mounted on the same PCB and arranged in a defined array pattern with alternate switching capability.</w:t>
      </w:r>
    </w:p>
    <w:p w14:paraId="64C547DD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invention enables:</w:t>
      </w:r>
    </w:p>
    <w:p w14:paraId="7F62E643" w14:textId="77777777" w:rsidR="00620EA1" w:rsidRPr="00620EA1" w:rsidRDefault="00620EA1" w:rsidP="00620E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Selective activation of day LEDs or NVG LEDs</w:t>
      </w:r>
    </w:p>
    <w:p w14:paraId="102897A5" w14:textId="77777777" w:rsidR="00620EA1" w:rsidRPr="00620EA1" w:rsidRDefault="00620EA1" w:rsidP="00620E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Maintenance of luminance uniformity in both modes</w:t>
      </w:r>
    </w:p>
    <w:p w14:paraId="004E5FCD" w14:textId="77777777" w:rsidR="00620EA1" w:rsidRPr="00620EA1" w:rsidRDefault="00620EA1" w:rsidP="00620E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Use of the same PCB layout for direct lighting and edge lighting schemes</w:t>
      </w:r>
    </w:p>
    <w:p w14:paraId="59BDDA31" w14:textId="77777777" w:rsidR="00620EA1" w:rsidRPr="00620EA1" w:rsidRDefault="00620EA1" w:rsidP="00620E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Preservation of identical mechanical footprint and real estate for both operating modes</w:t>
      </w:r>
    </w:p>
    <w:p w14:paraId="636875C6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lastRenderedPageBreak/>
        <w:t>The alternate switching scheme ensures that illumination characteristics remain consistent, irrespective of the lighting mode or backlight configuration.</w:t>
      </w:r>
    </w:p>
    <w:p w14:paraId="406EDD5A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620EA1">
        <w:rPr>
          <w:rFonts w:ascii="Arial" w:eastAsia="Times New Roman" w:hAnsi="Arial" w:cs="Arial"/>
          <w:b/>
          <w:bCs/>
          <w:lang w:eastAsia="en-IN"/>
        </w:rPr>
        <w:t>Detailed Description of the Invention</w:t>
      </w:r>
    </w:p>
    <w:p w14:paraId="782E89E1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LED Array Configuration</w:t>
      </w:r>
    </w:p>
    <w:p w14:paraId="2C6C61D1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In one embodiment, the backlight comprises a single PCB populated with:</w:t>
      </w:r>
    </w:p>
    <w:p w14:paraId="54F16A1D" w14:textId="77777777" w:rsidR="00620EA1" w:rsidRPr="00620EA1" w:rsidRDefault="00620EA1" w:rsidP="00620E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A plurality of day LEDs, and</w:t>
      </w:r>
    </w:p>
    <w:p w14:paraId="4C80B68C" w14:textId="77777777" w:rsidR="00620EA1" w:rsidRPr="00620EA1" w:rsidRDefault="00620EA1" w:rsidP="00620E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A plurality of NVG-compatible LEDs</w:t>
      </w:r>
    </w:p>
    <w:p w14:paraId="00E7F4CD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LEDs are arranged in an interleaved or alternating pattern across the PCB, such that:</w:t>
      </w:r>
    </w:p>
    <w:p w14:paraId="5DA70B14" w14:textId="77777777" w:rsidR="00620EA1" w:rsidRPr="00620EA1" w:rsidRDefault="00620EA1" w:rsidP="00620E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Day LEDs and NVG LEDs are spatially distributed to ensure uniform light output</w:t>
      </w:r>
    </w:p>
    <w:p w14:paraId="6C60D75B" w14:textId="77777777" w:rsidR="00620EA1" w:rsidRPr="00620EA1" w:rsidRDefault="00620EA1" w:rsidP="00620E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physical layout remains identical for both modes</w:t>
      </w:r>
    </w:p>
    <w:p w14:paraId="6386D274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Alternate Switching Scheme</w:t>
      </w:r>
    </w:p>
    <w:p w14:paraId="4644933E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LED array is configured for alternate electrical switching, wherein:</w:t>
      </w:r>
    </w:p>
    <w:p w14:paraId="4FD188F7" w14:textId="77777777" w:rsidR="00620EA1" w:rsidRPr="00620EA1" w:rsidRDefault="00620EA1" w:rsidP="00620E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In day mode, the day LEDs are activated while the NVG LEDs remain inactive</w:t>
      </w:r>
    </w:p>
    <w:p w14:paraId="34804499" w14:textId="77777777" w:rsidR="00620EA1" w:rsidRPr="00620EA1" w:rsidRDefault="00620EA1" w:rsidP="00620E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In NVG mode, the NVG LEDs are activated while the day LEDs remain inactive</w:t>
      </w:r>
    </w:p>
    <w:p w14:paraId="37D46565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switching scheme is designed such that:</w:t>
      </w:r>
    </w:p>
    <w:p w14:paraId="6A4295ED" w14:textId="77777777" w:rsidR="00620EA1" w:rsidRPr="00620EA1" w:rsidRDefault="00620EA1" w:rsidP="00620EA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illumination pattern across the display remains uniform</w:t>
      </w:r>
    </w:p>
    <w:p w14:paraId="177E94D2" w14:textId="77777777" w:rsidR="00620EA1" w:rsidRPr="00620EA1" w:rsidRDefault="00620EA1" w:rsidP="00620EA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No perceptible non-uniformity is introduced during mode switching</w:t>
      </w:r>
    </w:p>
    <w:p w14:paraId="6E1FE918" w14:textId="77777777" w:rsidR="00620EA1" w:rsidRPr="00620EA1" w:rsidRDefault="00620EA1" w:rsidP="00620EA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Electrical isolation between LED groups is maintained</w:t>
      </w:r>
    </w:p>
    <w:p w14:paraId="41ACB192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Compatibility with Direct and Edge Lighting</w:t>
      </w:r>
    </w:p>
    <w:p w14:paraId="19250841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same PCB and LED array architecture is usable for:</w:t>
      </w:r>
    </w:p>
    <w:p w14:paraId="3CBA73C4" w14:textId="77777777" w:rsidR="00620EA1" w:rsidRPr="00620EA1" w:rsidRDefault="00620EA1" w:rsidP="00620EA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Direct lighting schemes, where LEDs illuminate the display directly from behind, and</w:t>
      </w:r>
    </w:p>
    <w:p w14:paraId="57F7EAFC" w14:textId="77777777" w:rsidR="00620EA1" w:rsidRPr="00620EA1" w:rsidRDefault="00620EA1" w:rsidP="00620EA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Edge lighting schemes, where LEDs couple light into a light guide</w:t>
      </w:r>
    </w:p>
    <w:p w14:paraId="5CFEBC02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LED placement, spacing, and switching logic are designed to ensure:</w:t>
      </w:r>
    </w:p>
    <w:p w14:paraId="337F793C" w14:textId="77777777" w:rsidR="00620EA1" w:rsidRPr="00620EA1" w:rsidRDefault="00620EA1" w:rsidP="00620EA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Equivalent optical performance in both configurations</w:t>
      </w:r>
    </w:p>
    <w:p w14:paraId="3C5ACAD7" w14:textId="77777777" w:rsidR="00620EA1" w:rsidRPr="00620EA1" w:rsidRDefault="00620EA1" w:rsidP="00620EA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No requirement for PCB redesign when changing lighting topology</w:t>
      </w:r>
    </w:p>
    <w:p w14:paraId="02245DFF" w14:textId="77777777" w:rsidR="00620EA1" w:rsidRPr="00620EA1" w:rsidRDefault="00620EA1" w:rsidP="00620EA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Consistent luminance distribution in both day and NVG modes</w:t>
      </w:r>
    </w:p>
    <w:p w14:paraId="73040DEB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Real Estate Optimization</w:t>
      </w:r>
    </w:p>
    <w:p w14:paraId="7D96DAEA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A key aspect of the invention is that:</w:t>
      </w:r>
    </w:p>
    <w:p w14:paraId="1F594E9A" w14:textId="77777777" w:rsidR="00620EA1" w:rsidRPr="00620EA1" w:rsidRDefault="00620EA1" w:rsidP="00620EA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The same PCB real estate is used for both day and NVG LEDs</w:t>
      </w:r>
    </w:p>
    <w:p w14:paraId="40292CB5" w14:textId="77777777" w:rsidR="00620EA1" w:rsidRPr="00620EA1" w:rsidRDefault="00620EA1" w:rsidP="00620EA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No additional PCB area is required for separate lighting modes</w:t>
      </w:r>
    </w:p>
    <w:p w14:paraId="06A4EF87" w14:textId="77777777" w:rsidR="00620EA1" w:rsidRPr="00620EA1" w:rsidRDefault="00620EA1" w:rsidP="00620EA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Mechanical and thermal interfaces remain unchanged across modes</w:t>
      </w:r>
    </w:p>
    <w:p w14:paraId="0085C45F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This allows seamless integration into compact display assemblies.</w:t>
      </w:r>
    </w:p>
    <w:p w14:paraId="58676725" w14:textId="77777777" w:rsidR="00620EA1" w:rsidRPr="00620EA1" w:rsidRDefault="00620EA1" w:rsidP="00620EA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620EA1">
        <w:rPr>
          <w:rFonts w:ascii="Arial" w:eastAsia="Times New Roman" w:hAnsi="Arial" w:cs="Arial"/>
          <w:b/>
          <w:bCs/>
          <w:lang w:eastAsia="en-IN"/>
        </w:rPr>
        <w:lastRenderedPageBreak/>
        <w:t>Advantages of the Invention</w:t>
      </w:r>
    </w:p>
    <w:p w14:paraId="11ECDE68" w14:textId="77777777" w:rsidR="00620EA1" w:rsidRPr="00620EA1" w:rsidRDefault="00620EA1" w:rsidP="00620E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Single PCB supports both day and NVG lighting</w:t>
      </w:r>
    </w:p>
    <w:p w14:paraId="471D036A" w14:textId="77777777" w:rsidR="00620EA1" w:rsidRPr="00620EA1" w:rsidRDefault="00620EA1" w:rsidP="00620E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Reduced component count and wiring complexity</w:t>
      </w:r>
    </w:p>
    <w:p w14:paraId="3F18C5DC" w14:textId="77777777" w:rsidR="00620EA1" w:rsidRPr="00620EA1" w:rsidRDefault="00620EA1" w:rsidP="00620E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Uniform luminance in both lighting modes</w:t>
      </w:r>
    </w:p>
    <w:p w14:paraId="346B6649" w14:textId="77777777" w:rsidR="00620EA1" w:rsidRPr="00620EA1" w:rsidRDefault="00620EA1" w:rsidP="00620E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Applicability to both direct and edge lighting schemes</w:t>
      </w:r>
    </w:p>
    <w:p w14:paraId="173FBE70" w14:textId="77777777" w:rsidR="00620EA1" w:rsidRPr="00620EA1" w:rsidRDefault="00620EA1" w:rsidP="00620E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Reduced size, weight, and cost</w:t>
      </w:r>
    </w:p>
    <w:p w14:paraId="03797FD8" w14:textId="77777777" w:rsidR="00620EA1" w:rsidRPr="00620EA1" w:rsidRDefault="00620EA1" w:rsidP="00620E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n-IN"/>
        </w:rPr>
      </w:pPr>
      <w:r w:rsidRPr="00620EA1">
        <w:rPr>
          <w:rFonts w:ascii="Arial" w:eastAsia="Times New Roman" w:hAnsi="Arial" w:cs="Arial"/>
          <w:lang w:eastAsia="en-IN"/>
        </w:rPr>
        <w:t>Simplified mechanical and optical integration</w:t>
      </w:r>
    </w:p>
    <w:p w14:paraId="29322DB4" w14:textId="77777777" w:rsidR="00513387" w:rsidRPr="00620EA1" w:rsidRDefault="00513387" w:rsidP="00620EA1">
      <w:pPr>
        <w:jc w:val="both"/>
        <w:rPr>
          <w:rFonts w:ascii="Arial" w:hAnsi="Arial" w:cs="Arial"/>
        </w:rPr>
      </w:pPr>
    </w:p>
    <w:sectPr w:rsidR="00513387" w:rsidRPr="00620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237"/>
    <w:multiLevelType w:val="multilevel"/>
    <w:tmpl w:val="E76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0797"/>
    <w:multiLevelType w:val="multilevel"/>
    <w:tmpl w:val="98F2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3D2E"/>
    <w:multiLevelType w:val="multilevel"/>
    <w:tmpl w:val="8D3A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5A42"/>
    <w:multiLevelType w:val="multilevel"/>
    <w:tmpl w:val="D99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707D2"/>
    <w:multiLevelType w:val="multilevel"/>
    <w:tmpl w:val="56E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73C06"/>
    <w:multiLevelType w:val="multilevel"/>
    <w:tmpl w:val="C75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E412F"/>
    <w:multiLevelType w:val="multilevel"/>
    <w:tmpl w:val="F75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A6BE1"/>
    <w:multiLevelType w:val="multilevel"/>
    <w:tmpl w:val="B21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729B6"/>
    <w:multiLevelType w:val="multilevel"/>
    <w:tmpl w:val="AABA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01736"/>
    <w:multiLevelType w:val="multilevel"/>
    <w:tmpl w:val="390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353D4"/>
    <w:multiLevelType w:val="multilevel"/>
    <w:tmpl w:val="40F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F5EF3"/>
    <w:multiLevelType w:val="multilevel"/>
    <w:tmpl w:val="C83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1"/>
  </w:num>
  <w:num w:numId="4">
    <w:abstractNumId w:val="3"/>
  </w:num>
  <w:num w:numId="5">
    <w:abstractNumId w:val="10"/>
  </w:num>
  <w:num w:numId="6">
    <w:abstractNumId w:val="4"/>
  </w:num>
  <w:num w:numId="7">
    <w:abstractNumId w:val="1"/>
  </w:num>
  <w:num w:numId="8">
    <w:abstractNumId w:val="7"/>
  </w:num>
  <w:num w:numId="9">
    <w:abstractNumId w:val="0"/>
  </w:num>
  <w:num w:numId="10">
    <w:abstractNumId w:val="9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74"/>
    <w:rsid w:val="00105574"/>
    <w:rsid w:val="00513387"/>
    <w:rsid w:val="0062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9403"/>
  <w15:chartTrackingRefBased/>
  <w15:docId w15:val="{A3C2CCE0-5D0E-4926-8BBB-138BAEFD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0E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20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0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20E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0E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20E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0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Narang</dc:creator>
  <cp:keywords/>
  <dc:description/>
  <cp:lastModifiedBy>Rajesh Narang</cp:lastModifiedBy>
  <cp:revision>2</cp:revision>
  <dcterms:created xsi:type="dcterms:W3CDTF">2026-01-27T17:01:00Z</dcterms:created>
  <dcterms:modified xsi:type="dcterms:W3CDTF">2026-01-27T17:04:00Z</dcterms:modified>
</cp:coreProperties>
</file>