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4C618" w14:textId="77777777" w:rsidR="00EF3A25" w:rsidRPr="00EF3A25" w:rsidRDefault="00EF3A25" w:rsidP="00EF3A25">
      <w:pPr>
        <w:spacing w:before="100" w:beforeAutospacing="1" w:after="100" w:afterAutospacing="1" w:line="240" w:lineRule="auto"/>
        <w:jc w:val="center"/>
        <w:outlineLvl w:val="0"/>
        <w:rPr>
          <w:rFonts w:ascii="Arial" w:eastAsia="Times New Roman" w:hAnsi="Arial" w:cs="Arial"/>
          <w:kern w:val="36"/>
          <w:u w:val="single"/>
          <w:lang w:eastAsia="en-IN"/>
        </w:rPr>
      </w:pPr>
      <w:r w:rsidRPr="00EF3A25">
        <w:rPr>
          <w:rFonts w:ascii="Arial" w:eastAsia="Times New Roman" w:hAnsi="Arial" w:cs="Arial"/>
          <w:kern w:val="36"/>
          <w:u w:val="single"/>
          <w:lang w:eastAsia="en-IN"/>
        </w:rPr>
        <w:t>Invention Disclosure Write-up</w:t>
      </w:r>
    </w:p>
    <w:p w14:paraId="2E1075D7" w14:textId="77777777" w:rsidR="00EF3A25" w:rsidRPr="00EF3A25" w:rsidRDefault="00EF3A25" w:rsidP="00EF3A25">
      <w:pPr>
        <w:spacing w:before="100" w:beforeAutospacing="1" w:after="100" w:afterAutospacing="1" w:line="240" w:lineRule="auto"/>
        <w:jc w:val="both"/>
        <w:outlineLvl w:val="1"/>
        <w:rPr>
          <w:rFonts w:ascii="Arial" w:eastAsia="Times New Roman" w:hAnsi="Arial" w:cs="Arial"/>
          <w:b/>
          <w:bCs/>
          <w:lang w:eastAsia="en-IN"/>
        </w:rPr>
      </w:pPr>
      <w:r w:rsidRPr="00EF3A25">
        <w:rPr>
          <w:rFonts w:ascii="Arial" w:eastAsia="Times New Roman" w:hAnsi="Arial" w:cs="Arial"/>
          <w:b/>
          <w:bCs/>
          <w:lang w:eastAsia="en-IN"/>
        </w:rPr>
        <w:t>Title of the Invention</w:t>
      </w:r>
    </w:p>
    <w:p w14:paraId="48857AE4"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Design of a Single Universal Light Guide for Dual-Mode Day and NVG Backlight Operation</w:t>
      </w:r>
    </w:p>
    <w:p w14:paraId="7A74CFFA" w14:textId="77777777" w:rsidR="00EF3A25" w:rsidRPr="00EF3A25" w:rsidRDefault="00EF3A25" w:rsidP="00EF3A25">
      <w:pPr>
        <w:spacing w:before="100" w:beforeAutospacing="1" w:after="100" w:afterAutospacing="1" w:line="240" w:lineRule="auto"/>
        <w:jc w:val="both"/>
        <w:outlineLvl w:val="1"/>
        <w:rPr>
          <w:rFonts w:ascii="Arial" w:eastAsia="Times New Roman" w:hAnsi="Arial" w:cs="Arial"/>
          <w:b/>
          <w:bCs/>
          <w:lang w:eastAsia="en-IN"/>
        </w:rPr>
      </w:pPr>
      <w:r w:rsidRPr="00EF3A25">
        <w:rPr>
          <w:rFonts w:ascii="Arial" w:eastAsia="Times New Roman" w:hAnsi="Arial" w:cs="Arial"/>
          <w:b/>
          <w:bCs/>
          <w:lang w:eastAsia="en-IN"/>
        </w:rPr>
        <w:t>Field of the Invention</w:t>
      </w:r>
    </w:p>
    <w:p w14:paraId="6E5B993C"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The present invention relates to backlight systems for display devices, particularly for avionic, defence, and mission-critical displays requiring operation in both day mode and Night Vision Goggle (NVG) compatible mode. More specifically, the invention relates to a single universal light guide architecture capable of providing uniform illumination when driven by dual backlight sources positioned on opposite edges of a display panel.</w:t>
      </w:r>
    </w:p>
    <w:p w14:paraId="2333B206" w14:textId="77777777" w:rsidR="00EF3A25" w:rsidRPr="00EF3A25" w:rsidRDefault="00EF3A25" w:rsidP="00EF3A25">
      <w:pPr>
        <w:spacing w:before="100" w:beforeAutospacing="1" w:after="100" w:afterAutospacing="1" w:line="240" w:lineRule="auto"/>
        <w:jc w:val="both"/>
        <w:outlineLvl w:val="1"/>
        <w:rPr>
          <w:rFonts w:ascii="Arial" w:eastAsia="Times New Roman" w:hAnsi="Arial" w:cs="Arial"/>
          <w:b/>
          <w:bCs/>
          <w:lang w:eastAsia="en-IN"/>
        </w:rPr>
      </w:pPr>
      <w:r w:rsidRPr="00EF3A25">
        <w:rPr>
          <w:rFonts w:ascii="Arial" w:eastAsia="Times New Roman" w:hAnsi="Arial" w:cs="Arial"/>
          <w:b/>
          <w:bCs/>
          <w:lang w:eastAsia="en-IN"/>
        </w:rPr>
        <w:t>Background of the Invention</w:t>
      </w:r>
    </w:p>
    <w:p w14:paraId="11415A10"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Display systems used in defence and avionics applications are typically required to operate in dual illumination modes:</w:t>
      </w:r>
    </w:p>
    <w:p w14:paraId="1328CF0A" w14:textId="77777777" w:rsidR="00EF3A25" w:rsidRPr="00EF3A25" w:rsidRDefault="00EF3A25" w:rsidP="00EF3A25">
      <w:pPr>
        <w:numPr>
          <w:ilvl w:val="0"/>
          <w:numId w:val="1"/>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Day mode, requiring high luminance levels for sunlight readability</w:t>
      </w:r>
    </w:p>
    <w:p w14:paraId="1F9B6117" w14:textId="77777777" w:rsidR="00EF3A25" w:rsidRPr="00EF3A25" w:rsidRDefault="00EF3A25" w:rsidP="00EF3A25">
      <w:pPr>
        <w:numPr>
          <w:ilvl w:val="0"/>
          <w:numId w:val="1"/>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NVG mode, requiring controlled spectral output and reduced luminance compatible with night vision devices</w:t>
      </w:r>
    </w:p>
    <w:p w14:paraId="26E87A83"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Conventional implementations achieve this by using separate backlight arrangements for day and NVG modes, often involving:</w:t>
      </w:r>
    </w:p>
    <w:p w14:paraId="3FB0AE2F" w14:textId="77777777" w:rsidR="00EF3A25" w:rsidRPr="00EF3A25" w:rsidRDefault="00EF3A25" w:rsidP="00EF3A25">
      <w:pPr>
        <w:numPr>
          <w:ilvl w:val="0"/>
          <w:numId w:val="2"/>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Two independent light guides, or</w:t>
      </w:r>
    </w:p>
    <w:p w14:paraId="78171C8F" w14:textId="77777777" w:rsidR="00EF3A25" w:rsidRPr="00EF3A25" w:rsidRDefault="00EF3A25" w:rsidP="00EF3A25">
      <w:pPr>
        <w:numPr>
          <w:ilvl w:val="0"/>
          <w:numId w:val="2"/>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A light guide optimized for a single illumination direction</w:t>
      </w:r>
    </w:p>
    <w:p w14:paraId="29AF91D6"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In configurations where day and NVG backlight sources are placed on opposite edges of the LCD, conventional designs require two separate light guides or complex stacked optical assemblies. This approach leads to several disadvantages, including:</w:t>
      </w:r>
    </w:p>
    <w:p w14:paraId="4F7A8A32" w14:textId="77777777" w:rsidR="00EF3A25" w:rsidRPr="00EF3A25" w:rsidRDefault="00EF3A25" w:rsidP="00EF3A25">
      <w:pPr>
        <w:numPr>
          <w:ilvl w:val="0"/>
          <w:numId w:val="3"/>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Increased mechanical complexity and thickness</w:t>
      </w:r>
    </w:p>
    <w:p w14:paraId="2B1476A2" w14:textId="77777777" w:rsidR="00EF3A25" w:rsidRPr="00EF3A25" w:rsidRDefault="00EF3A25" w:rsidP="00EF3A25">
      <w:pPr>
        <w:numPr>
          <w:ilvl w:val="0"/>
          <w:numId w:val="3"/>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Poor optical efficiency due to multiple interfaces</w:t>
      </w:r>
    </w:p>
    <w:p w14:paraId="4B17EFDB" w14:textId="77777777" w:rsidR="00EF3A25" w:rsidRPr="00EF3A25" w:rsidRDefault="00EF3A25" w:rsidP="00EF3A25">
      <w:pPr>
        <w:numPr>
          <w:ilvl w:val="0"/>
          <w:numId w:val="3"/>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Non-uniform luminance when switching modes</w:t>
      </w:r>
    </w:p>
    <w:p w14:paraId="70597794" w14:textId="77777777" w:rsidR="00EF3A25" w:rsidRPr="00EF3A25" w:rsidRDefault="00EF3A25" w:rsidP="00EF3A25">
      <w:pPr>
        <w:numPr>
          <w:ilvl w:val="0"/>
          <w:numId w:val="3"/>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Increased cost, weight, and assembly effort</w:t>
      </w:r>
    </w:p>
    <w:p w14:paraId="334D4C7F" w14:textId="77777777" w:rsidR="00EF3A25" w:rsidRPr="00EF3A25" w:rsidRDefault="00EF3A25" w:rsidP="00EF3A25">
      <w:pPr>
        <w:numPr>
          <w:ilvl w:val="0"/>
          <w:numId w:val="3"/>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Challenges in alignment and long-term reliability</w:t>
      </w:r>
    </w:p>
    <w:p w14:paraId="377C74FC"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Accordingly, there exists a need for a single light guide solution that can function effectively with dual backlight sources located on opposite sides of the display, without compromising luminance uniformity or optical performance in either mode.</w:t>
      </w:r>
    </w:p>
    <w:p w14:paraId="7E196548" w14:textId="77777777" w:rsidR="00EF3A25" w:rsidRPr="00EF3A25" w:rsidRDefault="00EF3A25" w:rsidP="00EF3A25">
      <w:pPr>
        <w:spacing w:before="100" w:beforeAutospacing="1" w:after="100" w:afterAutospacing="1" w:line="240" w:lineRule="auto"/>
        <w:jc w:val="both"/>
        <w:outlineLvl w:val="1"/>
        <w:rPr>
          <w:rFonts w:ascii="Arial" w:eastAsia="Times New Roman" w:hAnsi="Arial" w:cs="Arial"/>
          <w:b/>
          <w:bCs/>
          <w:lang w:eastAsia="en-IN"/>
        </w:rPr>
      </w:pPr>
      <w:r w:rsidRPr="00EF3A25">
        <w:rPr>
          <w:rFonts w:ascii="Arial" w:eastAsia="Times New Roman" w:hAnsi="Arial" w:cs="Arial"/>
          <w:b/>
          <w:bCs/>
          <w:lang w:eastAsia="en-IN"/>
        </w:rPr>
        <w:t>Summary of the Invention</w:t>
      </w:r>
    </w:p>
    <w:p w14:paraId="2F4F6927"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The present invention discloses a single universal light guide designed to operate with two backlight sources positioned on opposite edges of an LCD panel, such as a day backlight source on one edge and an NVG backlight source on the opposite edge.</w:t>
      </w:r>
    </w:p>
    <w:p w14:paraId="1481C986"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The universal light guide is optically engineered to:</w:t>
      </w:r>
    </w:p>
    <w:p w14:paraId="521CD0AD" w14:textId="77777777" w:rsidR="00EF3A25" w:rsidRPr="00EF3A25" w:rsidRDefault="00EF3A25" w:rsidP="00EF3A25">
      <w:pPr>
        <w:numPr>
          <w:ilvl w:val="0"/>
          <w:numId w:val="4"/>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Accept light input from either or both opposing edges</w:t>
      </w:r>
    </w:p>
    <w:p w14:paraId="367E6320" w14:textId="77777777" w:rsidR="00EF3A25" w:rsidRPr="00EF3A25" w:rsidRDefault="00EF3A25" w:rsidP="00EF3A25">
      <w:pPr>
        <w:numPr>
          <w:ilvl w:val="0"/>
          <w:numId w:val="4"/>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Redistribute the injected light uniformly across the display area</w:t>
      </w:r>
    </w:p>
    <w:p w14:paraId="29AD9A25" w14:textId="77777777" w:rsidR="00EF3A25" w:rsidRPr="00EF3A25" w:rsidRDefault="00EF3A25" w:rsidP="00EF3A25">
      <w:pPr>
        <w:numPr>
          <w:ilvl w:val="0"/>
          <w:numId w:val="4"/>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lastRenderedPageBreak/>
        <w:t>Maintain acceptable luminance uniformity irrespective of which backlight source is active</w:t>
      </w:r>
    </w:p>
    <w:p w14:paraId="03FF36EA"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This is achieved through a novel dot pattern and light extraction structure designed within the light guide, such that the light propagation characteristics are symmetric or complementary for dual-edge illumination.</w:t>
      </w:r>
    </w:p>
    <w:p w14:paraId="70EA6EB2"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The design eliminates the need for multiple light guides and enables dual-mode operation using a single optical component, thereby simplifying the backlight architecture.</w:t>
      </w:r>
    </w:p>
    <w:p w14:paraId="25EAD87D" w14:textId="77777777" w:rsidR="00EF3A25" w:rsidRPr="00EF3A25" w:rsidRDefault="00EF3A25" w:rsidP="00EF3A25">
      <w:pPr>
        <w:spacing w:before="100" w:beforeAutospacing="1" w:after="100" w:afterAutospacing="1" w:line="240" w:lineRule="auto"/>
        <w:jc w:val="both"/>
        <w:outlineLvl w:val="1"/>
        <w:rPr>
          <w:rFonts w:ascii="Arial" w:eastAsia="Times New Roman" w:hAnsi="Arial" w:cs="Arial"/>
          <w:b/>
          <w:bCs/>
          <w:lang w:eastAsia="en-IN"/>
        </w:rPr>
      </w:pPr>
      <w:r w:rsidRPr="00EF3A25">
        <w:rPr>
          <w:rFonts w:ascii="Arial" w:eastAsia="Times New Roman" w:hAnsi="Arial" w:cs="Arial"/>
          <w:b/>
          <w:bCs/>
          <w:lang w:eastAsia="en-IN"/>
        </w:rPr>
        <w:t>Detailed Description of the Invention</w:t>
      </w:r>
    </w:p>
    <w:p w14:paraId="3D7FF905" w14:textId="77777777" w:rsidR="00EF3A25" w:rsidRPr="00EF3A25" w:rsidRDefault="00EF3A25" w:rsidP="00EF3A25">
      <w:pPr>
        <w:spacing w:before="100" w:beforeAutospacing="1" w:after="100" w:afterAutospacing="1" w:line="240" w:lineRule="auto"/>
        <w:jc w:val="both"/>
        <w:outlineLvl w:val="2"/>
        <w:rPr>
          <w:rFonts w:ascii="Arial" w:eastAsia="Times New Roman" w:hAnsi="Arial" w:cs="Arial"/>
          <w:lang w:eastAsia="en-IN"/>
        </w:rPr>
      </w:pPr>
      <w:r w:rsidRPr="00EF3A25">
        <w:rPr>
          <w:rFonts w:ascii="Arial" w:eastAsia="Times New Roman" w:hAnsi="Arial" w:cs="Arial"/>
          <w:lang w:eastAsia="en-IN"/>
        </w:rPr>
        <w:t>Universal Light Guide Architecture</w:t>
      </w:r>
    </w:p>
    <w:p w14:paraId="718104D6"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In one embodiment, the invention comprises a single light guide plate (LGP) positioned adjacent to the LCD panel. The light guide is configured to receive illumination from:</w:t>
      </w:r>
    </w:p>
    <w:p w14:paraId="7DA385A4" w14:textId="77777777" w:rsidR="00EF3A25" w:rsidRPr="00EF3A25" w:rsidRDefault="00EF3A25" w:rsidP="00EF3A25">
      <w:pPr>
        <w:numPr>
          <w:ilvl w:val="0"/>
          <w:numId w:val="5"/>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A first backlight source located at a first edge of the LCD (e.g., day mode), and</w:t>
      </w:r>
    </w:p>
    <w:p w14:paraId="054AE72F" w14:textId="77777777" w:rsidR="00EF3A25" w:rsidRPr="00EF3A25" w:rsidRDefault="00EF3A25" w:rsidP="00EF3A25">
      <w:pPr>
        <w:numPr>
          <w:ilvl w:val="0"/>
          <w:numId w:val="5"/>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A second backlight source located at an opposite edge of the LCD (e.g., NVG mode).</w:t>
      </w:r>
    </w:p>
    <w:p w14:paraId="25939A44"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 xml:space="preserve">The light guide is designed such that light injected from either edge propagates efficiently within the guide </w:t>
      </w:r>
      <w:proofErr w:type="gramStart"/>
      <w:r w:rsidRPr="00EF3A25">
        <w:rPr>
          <w:rFonts w:ascii="Arial" w:eastAsia="Times New Roman" w:hAnsi="Arial" w:cs="Arial"/>
          <w:lang w:eastAsia="en-IN"/>
        </w:rPr>
        <w:t>and</w:t>
      </w:r>
      <w:proofErr w:type="gramEnd"/>
      <w:r w:rsidRPr="00EF3A25">
        <w:rPr>
          <w:rFonts w:ascii="Arial" w:eastAsia="Times New Roman" w:hAnsi="Arial" w:cs="Arial"/>
          <w:lang w:eastAsia="en-IN"/>
        </w:rPr>
        <w:t xml:space="preserve"> is extracted uniformly over the display area.</w:t>
      </w:r>
    </w:p>
    <w:p w14:paraId="3C0863E3" w14:textId="77777777" w:rsidR="00EF3A25" w:rsidRPr="00EF3A25" w:rsidRDefault="00EF3A25" w:rsidP="00EF3A25">
      <w:pPr>
        <w:spacing w:before="100" w:beforeAutospacing="1" w:after="100" w:afterAutospacing="1" w:line="240" w:lineRule="auto"/>
        <w:jc w:val="both"/>
        <w:outlineLvl w:val="2"/>
        <w:rPr>
          <w:rFonts w:ascii="Arial" w:eastAsia="Times New Roman" w:hAnsi="Arial" w:cs="Arial"/>
          <w:lang w:eastAsia="en-IN"/>
        </w:rPr>
      </w:pPr>
      <w:r w:rsidRPr="00EF3A25">
        <w:rPr>
          <w:rFonts w:ascii="Arial" w:eastAsia="Times New Roman" w:hAnsi="Arial" w:cs="Arial"/>
          <w:lang w:eastAsia="en-IN"/>
        </w:rPr>
        <w:t>Optical Design and Dot Structure</w:t>
      </w:r>
    </w:p>
    <w:p w14:paraId="28ECC9FE"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The light guide incorporates a specially engineered dot pattern or extraction feature distribution, which is designed to function effectively for bi-directional light injection.</w:t>
      </w:r>
    </w:p>
    <w:p w14:paraId="1F0DD68A"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Key characteristics include:</w:t>
      </w:r>
    </w:p>
    <w:p w14:paraId="70EC27A0" w14:textId="77777777" w:rsidR="00EF3A25" w:rsidRPr="00EF3A25" w:rsidRDefault="00EF3A25" w:rsidP="00EF3A25">
      <w:pPr>
        <w:numPr>
          <w:ilvl w:val="0"/>
          <w:numId w:val="6"/>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Dot density and distribution optimized for dual-edge illumination</w:t>
      </w:r>
    </w:p>
    <w:p w14:paraId="2EB90782" w14:textId="77777777" w:rsidR="00EF3A25" w:rsidRPr="00EF3A25" w:rsidRDefault="00EF3A25" w:rsidP="00EF3A25">
      <w:pPr>
        <w:numPr>
          <w:ilvl w:val="0"/>
          <w:numId w:val="6"/>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Compensation for luminance fall-off from both edges</w:t>
      </w:r>
    </w:p>
    <w:p w14:paraId="0B61CCBD" w14:textId="77777777" w:rsidR="00EF3A25" w:rsidRPr="00EF3A25" w:rsidRDefault="00EF3A25" w:rsidP="00EF3A25">
      <w:pPr>
        <w:numPr>
          <w:ilvl w:val="0"/>
          <w:numId w:val="6"/>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Avoidance of directional bias typically present in single-edge light guide designs</w:t>
      </w:r>
    </w:p>
    <w:p w14:paraId="41F81F37"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 xml:space="preserve">The dot structures are designed using optical </w:t>
      </w:r>
      <w:proofErr w:type="gramStart"/>
      <w:r w:rsidRPr="00EF3A25">
        <w:rPr>
          <w:rFonts w:ascii="Arial" w:eastAsia="Times New Roman" w:hAnsi="Arial" w:cs="Arial"/>
          <w:lang w:eastAsia="en-IN"/>
        </w:rPr>
        <w:t>ray-tracing</w:t>
      </w:r>
      <w:proofErr w:type="gramEnd"/>
      <w:r w:rsidRPr="00EF3A25">
        <w:rPr>
          <w:rFonts w:ascii="Arial" w:eastAsia="Times New Roman" w:hAnsi="Arial" w:cs="Arial"/>
          <w:lang w:eastAsia="en-IN"/>
        </w:rPr>
        <w:t xml:space="preserve"> and simulation tools, such as </w:t>
      </w:r>
      <w:proofErr w:type="spellStart"/>
      <w:r w:rsidRPr="00EF3A25">
        <w:rPr>
          <w:rFonts w:ascii="Arial" w:eastAsia="Times New Roman" w:hAnsi="Arial" w:cs="Arial"/>
          <w:lang w:eastAsia="en-IN"/>
        </w:rPr>
        <w:t>Zemax</w:t>
      </w:r>
      <w:proofErr w:type="spellEnd"/>
      <w:r w:rsidRPr="00EF3A25">
        <w:rPr>
          <w:rFonts w:ascii="Arial" w:eastAsia="Times New Roman" w:hAnsi="Arial" w:cs="Arial"/>
          <w:lang w:eastAsia="en-IN"/>
        </w:rPr>
        <w:t xml:space="preserve"> and </w:t>
      </w:r>
      <w:proofErr w:type="spellStart"/>
      <w:r w:rsidRPr="00EF3A25">
        <w:rPr>
          <w:rFonts w:ascii="Arial" w:eastAsia="Times New Roman" w:hAnsi="Arial" w:cs="Arial"/>
          <w:lang w:eastAsia="en-IN"/>
        </w:rPr>
        <w:t>TracePro</w:t>
      </w:r>
      <w:proofErr w:type="spellEnd"/>
      <w:r w:rsidRPr="00EF3A25">
        <w:rPr>
          <w:rFonts w:ascii="Arial" w:eastAsia="Times New Roman" w:hAnsi="Arial" w:cs="Arial"/>
          <w:lang w:eastAsia="en-IN"/>
        </w:rPr>
        <w:t>, to model light propagation, extraction efficiency, and luminance uniformity for both operating modes.</w:t>
      </w:r>
    </w:p>
    <w:p w14:paraId="2D3E0F9F" w14:textId="77777777" w:rsidR="00EF3A25" w:rsidRPr="00EF3A25" w:rsidRDefault="00EF3A25" w:rsidP="00EF3A25">
      <w:pPr>
        <w:spacing w:before="100" w:beforeAutospacing="1" w:after="100" w:afterAutospacing="1" w:line="240" w:lineRule="auto"/>
        <w:jc w:val="both"/>
        <w:outlineLvl w:val="2"/>
        <w:rPr>
          <w:rFonts w:ascii="Arial" w:eastAsia="Times New Roman" w:hAnsi="Arial" w:cs="Arial"/>
          <w:lang w:eastAsia="en-IN"/>
        </w:rPr>
      </w:pPr>
      <w:r w:rsidRPr="00EF3A25">
        <w:rPr>
          <w:rFonts w:ascii="Arial" w:eastAsia="Times New Roman" w:hAnsi="Arial" w:cs="Arial"/>
          <w:lang w:eastAsia="en-IN"/>
        </w:rPr>
        <w:t>Dual-Mode Operation</w:t>
      </w:r>
    </w:p>
    <w:p w14:paraId="40EA0660"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In operation:</w:t>
      </w:r>
    </w:p>
    <w:p w14:paraId="6D0372E1" w14:textId="77777777" w:rsidR="00EF3A25" w:rsidRPr="00EF3A25" w:rsidRDefault="00EF3A25" w:rsidP="00EF3A25">
      <w:pPr>
        <w:numPr>
          <w:ilvl w:val="0"/>
          <w:numId w:val="7"/>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When only the day backlight is active, the universal light guide provides uniform high-brightness illumination suitable for daytime viewing.</w:t>
      </w:r>
    </w:p>
    <w:p w14:paraId="385B120E" w14:textId="77777777" w:rsidR="00EF3A25" w:rsidRPr="00EF3A25" w:rsidRDefault="00EF3A25" w:rsidP="00EF3A25">
      <w:pPr>
        <w:numPr>
          <w:ilvl w:val="0"/>
          <w:numId w:val="7"/>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When only the NVG backlight is active, the same light guide provides uniform illumination compatible with NVG requirements.</w:t>
      </w:r>
    </w:p>
    <w:p w14:paraId="18D087B8" w14:textId="77777777" w:rsidR="00EF3A25" w:rsidRPr="00EF3A25" w:rsidRDefault="00EF3A25" w:rsidP="00EF3A25">
      <w:pPr>
        <w:numPr>
          <w:ilvl w:val="0"/>
          <w:numId w:val="7"/>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The design also supports scenarios where both sources may be controlled independently without optical interference.</w:t>
      </w:r>
    </w:p>
    <w:p w14:paraId="12F34F26"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Importantly, the same physical light guide supports both modes without requiring mechanical changes, optical reconfiguration, or additional light guides.</w:t>
      </w:r>
    </w:p>
    <w:p w14:paraId="221CF16E" w14:textId="77777777" w:rsidR="00EF3A25" w:rsidRPr="00EF3A25" w:rsidRDefault="00EF3A25" w:rsidP="00EF3A25">
      <w:pPr>
        <w:spacing w:before="100" w:beforeAutospacing="1" w:after="100" w:afterAutospacing="1" w:line="240" w:lineRule="auto"/>
        <w:jc w:val="both"/>
        <w:outlineLvl w:val="1"/>
        <w:rPr>
          <w:rFonts w:ascii="Arial" w:eastAsia="Times New Roman" w:hAnsi="Arial" w:cs="Arial"/>
          <w:b/>
          <w:bCs/>
          <w:lang w:eastAsia="en-IN"/>
        </w:rPr>
      </w:pPr>
      <w:r w:rsidRPr="00EF3A25">
        <w:rPr>
          <w:rFonts w:ascii="Arial" w:eastAsia="Times New Roman" w:hAnsi="Arial" w:cs="Arial"/>
          <w:b/>
          <w:bCs/>
          <w:lang w:eastAsia="en-IN"/>
        </w:rPr>
        <w:t>Advantages of the Invention</w:t>
      </w:r>
    </w:p>
    <w:p w14:paraId="4B66CC52" w14:textId="77777777" w:rsidR="00EF3A25" w:rsidRPr="00EF3A25" w:rsidRDefault="00EF3A25" w:rsidP="00EF3A25">
      <w:p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lastRenderedPageBreak/>
        <w:t>The universal light guide offers several advantages over conventional designs:</w:t>
      </w:r>
    </w:p>
    <w:p w14:paraId="41B94AF1" w14:textId="77777777" w:rsidR="00EF3A25" w:rsidRPr="00EF3A25" w:rsidRDefault="00EF3A25" w:rsidP="00EF3A25">
      <w:pPr>
        <w:numPr>
          <w:ilvl w:val="0"/>
          <w:numId w:val="8"/>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Elimination of multiple light guides</w:t>
      </w:r>
    </w:p>
    <w:p w14:paraId="7C7CE1A1" w14:textId="77777777" w:rsidR="00EF3A25" w:rsidRPr="00EF3A25" w:rsidRDefault="00EF3A25" w:rsidP="00EF3A25">
      <w:pPr>
        <w:numPr>
          <w:ilvl w:val="0"/>
          <w:numId w:val="8"/>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Reduced mechanical thickness and weight</w:t>
      </w:r>
    </w:p>
    <w:p w14:paraId="5DE8D4C6" w14:textId="77777777" w:rsidR="00EF3A25" w:rsidRPr="00EF3A25" w:rsidRDefault="00EF3A25" w:rsidP="00EF3A25">
      <w:pPr>
        <w:numPr>
          <w:ilvl w:val="0"/>
          <w:numId w:val="8"/>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Improved luminance uniformity in both day and NVG modes</w:t>
      </w:r>
    </w:p>
    <w:p w14:paraId="4837905D" w14:textId="77777777" w:rsidR="00EF3A25" w:rsidRPr="00EF3A25" w:rsidRDefault="00EF3A25" w:rsidP="00EF3A25">
      <w:pPr>
        <w:numPr>
          <w:ilvl w:val="0"/>
          <w:numId w:val="8"/>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Simplified backlight assembly and alignment</w:t>
      </w:r>
    </w:p>
    <w:p w14:paraId="16AA10DC" w14:textId="77777777" w:rsidR="00EF3A25" w:rsidRPr="00EF3A25" w:rsidRDefault="00EF3A25" w:rsidP="00EF3A25">
      <w:pPr>
        <w:numPr>
          <w:ilvl w:val="0"/>
          <w:numId w:val="8"/>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Reduced part count and manufacturing cost</w:t>
      </w:r>
    </w:p>
    <w:p w14:paraId="15558FEE" w14:textId="77777777" w:rsidR="00EF3A25" w:rsidRPr="00EF3A25" w:rsidRDefault="00EF3A25" w:rsidP="00EF3A25">
      <w:pPr>
        <w:numPr>
          <w:ilvl w:val="0"/>
          <w:numId w:val="8"/>
        </w:numPr>
        <w:spacing w:before="100" w:beforeAutospacing="1" w:after="100" w:afterAutospacing="1" w:line="240" w:lineRule="auto"/>
        <w:jc w:val="both"/>
        <w:rPr>
          <w:rFonts w:ascii="Arial" w:eastAsia="Times New Roman" w:hAnsi="Arial" w:cs="Arial"/>
          <w:lang w:eastAsia="en-IN"/>
        </w:rPr>
      </w:pPr>
      <w:r w:rsidRPr="00EF3A25">
        <w:rPr>
          <w:rFonts w:ascii="Arial" w:eastAsia="Times New Roman" w:hAnsi="Arial" w:cs="Arial"/>
          <w:lang w:eastAsia="en-IN"/>
        </w:rPr>
        <w:t>Improved long-term optical and mechanical reliability</w:t>
      </w:r>
    </w:p>
    <w:p w14:paraId="533A3213" w14:textId="77777777" w:rsidR="006D1CAB" w:rsidRPr="00EF3A25" w:rsidRDefault="006D1CAB" w:rsidP="00EF3A25">
      <w:pPr>
        <w:jc w:val="both"/>
        <w:rPr>
          <w:rFonts w:ascii="Arial" w:hAnsi="Arial" w:cs="Arial"/>
        </w:rPr>
      </w:pPr>
    </w:p>
    <w:sectPr w:rsidR="006D1CAB" w:rsidRPr="00EF3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1BD2"/>
    <w:multiLevelType w:val="multilevel"/>
    <w:tmpl w:val="07D6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42E4"/>
    <w:multiLevelType w:val="multilevel"/>
    <w:tmpl w:val="BF2C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B37BA"/>
    <w:multiLevelType w:val="multilevel"/>
    <w:tmpl w:val="10E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90ACA"/>
    <w:multiLevelType w:val="multilevel"/>
    <w:tmpl w:val="156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358F2"/>
    <w:multiLevelType w:val="multilevel"/>
    <w:tmpl w:val="1EC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50E5F"/>
    <w:multiLevelType w:val="multilevel"/>
    <w:tmpl w:val="E576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0730D"/>
    <w:multiLevelType w:val="multilevel"/>
    <w:tmpl w:val="0862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A277B"/>
    <w:multiLevelType w:val="multilevel"/>
    <w:tmpl w:val="C41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7"/>
  </w:num>
  <w:num w:numId="4">
    <w:abstractNumId w:val="6"/>
  </w:num>
  <w:num w:numId="5">
    <w:abstractNumId w:val="5"/>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4A"/>
    <w:rsid w:val="006D1CAB"/>
    <w:rsid w:val="009E644A"/>
    <w:rsid w:val="00EF3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E3201E-9AE5-4FAA-AFFE-A473AFDA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3A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F3A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F3A2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A2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F3A2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F3A2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F3A25"/>
    <w:rPr>
      <w:b/>
      <w:bCs/>
    </w:rPr>
  </w:style>
  <w:style w:type="paragraph" w:styleId="NormalWeb">
    <w:name w:val="Normal (Web)"/>
    <w:basedOn w:val="Normal"/>
    <w:uiPriority w:val="99"/>
    <w:semiHidden/>
    <w:unhideWhenUsed/>
    <w:rsid w:val="00EF3A2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99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Narang</dc:creator>
  <cp:keywords/>
  <dc:description/>
  <cp:lastModifiedBy>Rajesh Narang</cp:lastModifiedBy>
  <cp:revision>2</cp:revision>
  <dcterms:created xsi:type="dcterms:W3CDTF">2026-01-27T16:45:00Z</dcterms:created>
  <dcterms:modified xsi:type="dcterms:W3CDTF">2026-01-27T16:50:00Z</dcterms:modified>
</cp:coreProperties>
</file>