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Arial" w:hAnsi="Arial" w:eastAsia="Arial"/>
          <w:b/>
          <w:i w:val="0"/>
          <w:color w:val="2563EB"/>
          <w:sz w:val="17"/>
        </w:rPr>
        <w:t>NACHBESPRECHUNGSPROTOKOLL</w:t>
      </w:r>
    </w:p>
    <w:p>
      <w:pPr>
        <w:keepNext/>
        <w:spacing w:after="80"/>
      </w:pPr>
      <w:r>
        <w:rPr>
          <w:rFonts w:ascii="Arial" w:hAnsi="Arial" w:eastAsia="Arial"/>
          <w:b/>
          <w:i w:val="0"/>
          <w:color w:val="0F172A"/>
          <w:sz w:val="48"/>
        </w:rPr>
        <w:t>Management-Debrief</w:t>
      </w:r>
    </w:p>
    <w:p>
      <w:pPr>
        <w:spacing w:after="200"/>
      </w:pPr>
      <w:r>
        <w:rPr>
          <w:rFonts w:ascii="Arial" w:hAnsi="Arial" w:eastAsia="Arial"/>
          <w:b w:val="0"/>
          <w:i w:val="0"/>
          <w:color w:val="475569"/>
          <w:sz w:val="23"/>
        </w:rPr>
        <w:t>Entscheidungen, offene Punkte und nächste Prüfung nach der Schulung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2100"/>
        <w:gridCol w:w="2700"/>
        <w:gridCol w:w="4560"/>
      </w:tblGrid>
      <w:t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VERSION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7"/>
              </w:rPr>
              <w:t>1.0</w:t>
            </w:r>
          </w:p>
        </w:tc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STAND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7"/>
              </w:rPr>
              <w:t>22. Juli 2026</w:t>
            </w:r>
          </w:p>
        </w:tc>
        <w:tc>
          <w:tcPr>
            <w:tcW w:type="dxa" w:w="45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FORMAT</w:t>
              <w:br/>
            </w:r>
            <w:r>
              <w:rPr>
                <w:rFonts w:ascii="Arial" w:hAnsi="Arial" w:eastAsia="Arial"/>
                <w:b/>
                <w:i w:val="0"/>
                <w:color w:val="0F172A"/>
                <w:sz w:val="17"/>
              </w:rPr>
              <w:t>Nachbesprechungsprotokoll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2750"/>
        <w:gridCol w:w="6610"/>
      </w:tblGrid>
      <w:tr>
        <w:trPr>
          <w:cantSplit/>
        </w:trPr>
        <w:tc>
          <w:tcPr>
            <w:tcW w:type="dxa" w:w="2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Kunde / Schulung am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[Unternehmen]  /  [TT.MM.JJJJ]</w:t>
            </w:r>
          </w:p>
        </w:tc>
      </w:tr>
      <w:tr>
        <w:trPr>
          <w:cantSplit/>
        </w:trPr>
        <w:tc>
          <w:tcPr>
            <w:tcW w:type="dxa" w:w="2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Nachbesprechung am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[TT.MM.JJJJ]</w:t>
            </w:r>
          </w:p>
        </w:tc>
      </w:tr>
      <w:tr>
        <w:trPr>
          <w:cantSplit/>
        </w:trPr>
        <w:tc>
          <w:tcPr>
            <w:tcW w:type="dxa" w:w="2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Teilnehmende Rollen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[Rollen / Funktionen]</w:t>
            </w:r>
          </w:p>
        </w:tc>
      </w:tr>
      <w:tr>
        <w:trPr>
          <w:cantSplit/>
        </w:trPr>
        <w:tc>
          <w:tcPr>
            <w:tcW w:type="dxa" w:w="2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Protokoll</w:t>
            </w:r>
          </w:p>
        </w:tc>
        <w:tc>
          <w:tcPr>
            <w:tcW w:type="dxa" w:w="6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[Name / Rolle]</w:t>
            </w:r>
          </w:p>
        </w:tc>
      </w:tr>
    </w:tbl>
    <w:p>
      <w:r>
        <w:br w:type="page"/>
      </w:r>
    </w:p>
    <w:p>
      <w:pPr>
        <w:pStyle w:val="Heading1"/>
        <w:spacing w:before="0" w:after="60"/>
      </w:pPr>
      <w:r>
        <w:rPr>
          <w:rFonts w:ascii="Arial" w:hAnsi="Arial" w:eastAsia="Arial"/>
          <w:b/>
          <w:i w:val="0"/>
          <w:color w:val="0F172A"/>
          <w:sz w:val="30"/>
        </w:rPr>
        <w:t>Fünf Managementfragen</w:t>
      </w:r>
    </w:p>
    <w:p>
      <w:pPr>
        <w:spacing w:before="60" w:after="20" w:line="245" w:lineRule="auto"/>
      </w:pPr>
      <w:r>
        <w:rPr>
          <w:rFonts w:ascii="Arial" w:hAnsi="Arial" w:eastAsia="Arial"/>
          <w:b/>
          <w:i w:val="0"/>
          <w:color w:val="0F172A"/>
          <w:sz w:val="18"/>
        </w:rPr>
        <w:t>1. Welche Anwendungsfälle waren sinnvoll und akzeptiert?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/>
                <w:color w:val="475569"/>
                <w:sz w:val="16"/>
              </w:rPr>
              <w:t>[Antwort / Entscheidung]</w:t>
            </w:r>
          </w:p>
          <w:p>
            <w:pPr>
              <w:spacing w:before="20" w:after="80" w:line="240" w:lineRule="auto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6"/>
              </w:rPr>
              <w:t xml:space="preserve"> </w:t>
            </w:r>
          </w:p>
        </w:tc>
      </w:tr>
    </w:tbl>
    <w:p>
      <w:pPr>
        <w:spacing w:before="60" w:after="20" w:line="245" w:lineRule="auto"/>
      </w:pPr>
      <w:r>
        <w:rPr>
          <w:rFonts w:ascii="Arial" w:hAnsi="Arial" w:eastAsia="Arial"/>
          <w:b/>
          <w:i w:val="0"/>
          <w:color w:val="0F172A"/>
          <w:sz w:val="18"/>
        </w:rPr>
        <w:t>2. Wo bestanden Unsicherheiten oder Regelungslücken?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/>
                <w:color w:val="475569"/>
                <w:sz w:val="16"/>
              </w:rPr>
              <w:t>[Antwort / Entscheidung]</w:t>
            </w:r>
          </w:p>
          <w:p>
            <w:pPr>
              <w:spacing w:before="20" w:after="80" w:line="240" w:lineRule="auto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6"/>
              </w:rPr>
              <w:t xml:space="preserve"> </w:t>
            </w:r>
          </w:p>
        </w:tc>
      </w:tr>
    </w:tbl>
    <w:p>
      <w:pPr>
        <w:spacing w:before="60" w:after="20" w:line="245" w:lineRule="auto"/>
      </w:pPr>
      <w:r>
        <w:rPr>
          <w:rFonts w:ascii="Arial" w:hAnsi="Arial" w:eastAsia="Arial"/>
          <w:b/>
          <w:i w:val="0"/>
          <w:color w:val="0F172A"/>
          <w:sz w:val="18"/>
        </w:rPr>
        <w:t>3. Welche Werkzeuge müssen geklärt oder freigegeben werden?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/>
                <w:color w:val="475569"/>
                <w:sz w:val="16"/>
              </w:rPr>
              <w:t>[Antwort / Entscheidung]</w:t>
            </w:r>
          </w:p>
          <w:p>
            <w:pPr>
              <w:spacing w:before="20" w:after="80" w:line="240" w:lineRule="auto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6"/>
              </w:rPr>
              <w:t xml:space="preserve"> </w:t>
            </w:r>
          </w:p>
        </w:tc>
      </w:tr>
    </w:tbl>
    <w:p>
      <w:pPr>
        <w:spacing w:before="60" w:after="20" w:line="245" w:lineRule="auto"/>
      </w:pPr>
      <w:r>
        <w:rPr>
          <w:rFonts w:ascii="Arial" w:hAnsi="Arial" w:eastAsia="Arial"/>
          <w:b/>
          <w:i w:val="0"/>
          <w:color w:val="0F172A"/>
          <w:sz w:val="18"/>
        </w:rPr>
        <w:t>4. Wer übernimmt Verantwortung für Regeln, Fragen und Aktualisierung?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/>
                <w:color w:val="475569"/>
                <w:sz w:val="16"/>
              </w:rPr>
              <w:t>[Antwort / Entscheidung]</w:t>
            </w:r>
          </w:p>
          <w:p>
            <w:pPr>
              <w:spacing w:before="20" w:after="80" w:line="240" w:lineRule="auto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6"/>
              </w:rPr>
              <w:t xml:space="preserve"> </w:t>
            </w:r>
          </w:p>
        </w:tc>
      </w:tr>
    </w:tbl>
    <w:p>
      <w:pPr>
        <w:spacing w:before="60" w:after="20" w:line="245" w:lineRule="auto"/>
      </w:pPr>
      <w:r>
        <w:rPr>
          <w:rFonts w:ascii="Arial" w:hAnsi="Arial" w:eastAsia="Arial"/>
          <w:b/>
          <w:i w:val="0"/>
          <w:color w:val="0F172A"/>
          <w:sz w:val="18"/>
        </w:rPr>
        <w:t>5. Welche drei Maßnahmen werden innerhalb von 30 Tagen umgesetzt?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52" w:lineRule="auto"/>
            </w:pPr>
            <w:r>
              <w:rPr>
                <w:rFonts w:ascii="Arial" w:hAnsi="Arial" w:eastAsia="Arial"/>
                <w:b w:val="0"/>
                <w:i/>
                <w:color w:val="475569"/>
                <w:sz w:val="16"/>
              </w:rPr>
              <w:t>[Antwort / Entscheidung]</w:t>
            </w:r>
          </w:p>
          <w:p>
            <w:pPr>
              <w:spacing w:before="20" w:after="80" w:line="240" w:lineRule="auto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6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before="0" w:after="80"/>
      </w:pPr>
      <w:r>
        <w:rPr>
          <w:rFonts w:ascii="Arial" w:hAnsi="Arial" w:eastAsia="Arial"/>
          <w:b/>
          <w:i w:val="0"/>
          <w:color w:val="0F172A"/>
          <w:sz w:val="30"/>
        </w:rPr>
        <w:t>Offene Punkte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3600"/>
        <w:gridCol w:w="1700"/>
        <w:gridCol w:w="1700"/>
        <w:gridCol w:w="23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OFFENER PUNKT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OWNER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FÄLLIGKEIT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0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4"/>
              </w:rPr>
              <w:t>STATUS / ENTSCHEIDUNG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6"/>
              </w:rPr>
              <w:t>[Thema ohne sensible Falldaten]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6"/>
              </w:rPr>
              <w:t>[Owner]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6"/>
              </w:rPr>
              <w:t>[TT.MM.JJJJ]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6"/>
              </w:rPr>
              <w:t>[Status]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6"/>
              </w:rPr>
              <w:t>[Thema ohne sensible Falldaten]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6"/>
              </w:rPr>
              <w:t>[Owner]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6"/>
              </w:rPr>
              <w:t>[TT.MM.JJJJ]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6"/>
              </w:rPr>
              <w:t>[Status]</w:t>
            </w:r>
          </w:p>
        </w:tc>
      </w:tr>
      <w:tr>
        <w:trPr>
          <w:cantSplit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6"/>
              </w:rPr>
              <w:t>[Thema ohne sensible Falldaten]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6"/>
              </w:rPr>
              <w:t>[Owner]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6"/>
              </w:rPr>
              <w:t>[TT.MM.JJJJ]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60" w:after="60" w:line="252" w:lineRule="auto"/>
            </w:pPr>
            <w:r>
              <w:rPr>
                <w:rFonts w:ascii="Arial" w:hAnsi="Arial" w:eastAsia="Arial"/>
                <w:b w:val="0"/>
                <w:i w:val="0"/>
                <w:color w:val="475569"/>
                <w:sz w:val="16"/>
              </w:rPr>
              <w:t>[Status]</w:t>
            </w:r>
          </w:p>
        </w:tc>
      </w:tr>
    </w:tbl>
    <w:p>
      <w:pPr>
        <w:pStyle w:val="Heading2"/>
        <w:spacing w:before="200" w:after="60"/>
      </w:pPr>
      <w:r>
        <w:rPr>
          <w:rFonts w:ascii="Arial" w:hAnsi="Arial" w:eastAsia="Arial"/>
          <w:b/>
          <w:i w:val="0"/>
          <w:color w:val="0F172A"/>
          <w:sz w:val="23"/>
        </w:rPr>
        <w:t>Spezialistenverweise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Bedarf / Disziplin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[Recht / Datenschutz / Informationssicherheit / Fachbereich]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Zuständige Stelle / Übergabe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[Interne oder qualifizierte externe Stelle / Termin]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52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5"/>
              </w:rPr>
              <w:t xml:space="preserve">ABGRENZUNG  </w:t>
            </w:r>
            <w:r>
              <w:rPr>
                <w:rFonts w:ascii="Arial" w:hAnsi="Arial" w:eastAsia="Arial"/>
                <w:b w:val="0"/>
                <w:i w:val="0"/>
                <w:color w:val="0F172A"/>
                <w:sz w:val="16"/>
              </w:rPr>
              <w:t>MyHiwi gibt im Basistraining keine Rechtsberatung, Datenschutzprüfung, Sicherheitsprüfung oder Toolfreigabe.</w:t>
            </w:r>
          </w:p>
        </w:tc>
      </w:tr>
    </w:tbl>
    <w:p>
      <w:pPr>
        <w:pStyle w:val="Heading2"/>
        <w:spacing w:before="200" w:after="60"/>
      </w:pPr>
      <w:r>
        <w:rPr>
          <w:rFonts w:ascii="Arial" w:hAnsi="Arial" w:eastAsia="Arial"/>
          <w:b/>
          <w:i w:val="0"/>
          <w:color w:val="0F172A"/>
          <w:sz w:val="23"/>
        </w:rPr>
        <w:t>Review und optionales Follow-up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E7E8EA"/>
          <w:left w:val="single" w:sz="4" w:space="0" w:color="E7E8EA"/>
          <w:bottom w:val="single" w:sz="4" w:space="0" w:color="E7E8EA"/>
          <w:right w:val="single" w:sz="4" w:space="0" w:color="E7E8EA"/>
          <w:insideH w:val="single" w:sz="4" w:space="0" w:color="E7E8EA"/>
          <w:insideV w:val="single" w:sz="4" w:space="0" w:color="E7E8EA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Nächster Review-Termin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[TT.MM.JJJJ]</w:t>
            </w:r>
          </w:p>
        </w:tc>
      </w:tr>
      <w:tr>
        <w:trPr>
          <w:cantSplit/>
        </w:trPr>
        <w:tc>
          <w:tcPr>
            <w:tcW w:type="dxa" w:w="3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/>
                <w:i w:val="0"/>
                <w:color w:val="2563EB"/>
                <w:sz w:val="16"/>
              </w:rPr>
              <w:t>Optionales Follow-up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45" w:lineRule="auto"/>
            </w:pPr>
            <w:r>
              <w:rPr>
                <w:rFonts w:ascii="Arial" w:hAnsi="Arial" w:eastAsia="Arial"/>
                <w:b w:val="0"/>
                <w:i w:val="0"/>
                <w:color w:val="0F172A"/>
                <w:sz w:val="17"/>
              </w:rPr>
              <w:t>[Nur bei erkennbarem Bedarf: Thema, Entscheidung, Verantwortung]</w:t>
            </w:r>
          </w:p>
        </w:tc>
      </w:tr>
    </w:tbl>
    <w:p>
      <w:pPr>
        <w:spacing w:after="0" w:line="252" w:lineRule="auto"/>
      </w:pPr>
      <w:r>
        <w:rPr>
          <w:rFonts w:ascii="Arial" w:hAnsi="Arial" w:eastAsia="Arial"/>
          <w:b w:val="0"/>
          <w:i w:val="0"/>
          <w:color w:val="475569"/>
          <w:sz w:val="16"/>
        </w:rPr>
        <w:t>Das Basistraining ist ein eigenständiges Produkt. Ein optionales Follow-up ist kein automatisches Folgeangebot und erfolgt nur bei erkennbarem Bedarf und ausdrücklicher Abstimmung.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 w:eastAsia="Arial"/>
        <w:b w:val="0"/>
        <w:i w:val="0"/>
        <w:color w:val="475569"/>
        <w:sz w:val="16"/>
      </w:rPr>
      <w:t xml:space="preserve">VERSION 1.0  ·  STAND 22. JULI 2026  ·  SEITE </w:t>
    </w:r>
    <w:r>
      <w:rPr>
        <w:rFonts w:ascii="Arial" w:hAnsi="Arial" w:eastAsia="Arial"/>
        <w:b w:val="0"/>
        <w:i w:val="0"/>
        <w:color w:val="475569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475569"/>
        <w:sz w:val="16"/>
      </w:rPr>
      <w:t xml:space="preserve"> / </w:t>
    </w:r>
    <w:r>
      <w:rPr>
        <w:rFonts w:ascii="Arial" w:hAnsi="Arial" w:eastAsia="Arial"/>
        <w:b w:val="0"/>
        <w:i w:val="0"/>
        <w:color w:val="475569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 w:line="240" w:lineRule="auto" w:before="0"/>
    </w:pPr>
    <w:r/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type="dxa" w:w="0"/>
    </w:tblPr>
    <w:tblGrid>
      <w:gridCol w:w="4680"/>
      <w:gridCol w:w="4680"/>
    </w:tblGrid>
    <w:t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40" w:lineRule="auto"/>
          </w:pPr>
          <w:r>
            <w:rPr>
              <w:rFonts w:ascii="Arial" w:hAnsi="Arial" w:eastAsia="Arial"/>
              <w:b/>
              <w:i w:val="0"/>
              <w:color w:val="2563EB"/>
              <w:sz w:val="16"/>
            </w:rPr>
            <w:t>MYHIWI / AI-STARTKLAR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rFonts w:ascii="Arial" w:hAnsi="Arial" w:eastAsia="Arial"/>
              <w:b/>
              <w:i w:val="0"/>
              <w:color w:val="475569"/>
              <w:sz w:val="16"/>
            </w:rPr>
            <w:t>NACHBESPRECHUNGSPROTOKOLL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MyHiwi AI-Startklar – Nachbesprechungsprotokoll</dc:title>
  <dc:subject>Nachbesprechungsprotokoll</dc:subject>
  <dc:creator>MyHiwi</dc:creator>
  <cp:keywords/>
  <dc:description>Version 1.0 | Stand 22. Juli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