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 w:line="240" w:lineRule="auto"/>
      </w:pPr>
      <w:r>
        <w:rPr>
          <w:rFonts w:ascii="Arial" w:hAnsi="Arial" w:eastAsia="Arial"/>
          <w:b/>
          <w:i w:val="0"/>
          <w:color w:val="2563EB"/>
          <w:sz w:val="15"/>
        </w:rPr>
        <w:t>KI-NUTZUNGSREGEL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0F172A"/>
          <w:sz w:val="40"/>
        </w:rPr>
        <w:t>Fünf Regeln für den betrieblichen Basisgebrauch</w:t>
      </w:r>
    </w:p>
    <w:p>
      <w:pPr>
        <w:spacing w:before="0" w:after="100" w:line="245" w:lineRule="auto"/>
      </w:pPr>
      <w:r>
        <w:rPr>
          <w:rFonts w:ascii="Arial" w:hAnsi="Arial" w:eastAsia="Arial"/>
          <w:b w:val="0"/>
          <w:i w:val="0"/>
          <w:color w:val="475569"/>
          <w:sz w:val="18"/>
        </w:rPr>
        <w:t>Einseitige, anpassbare Unternehmensvorlage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1.0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22. Juli 2026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DOKUMENTTYP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KI-Nutzungsregel</w:t>
            </w:r>
          </w:p>
        </w:tc>
      </w:tr>
    </w:tbl>
    <w:p>
      <w:pPr>
        <w:pStyle w:val="Heading2"/>
        <w:spacing w:before="80" w:after="40"/>
      </w:pPr>
      <w:r>
        <w:rPr>
          <w:rFonts w:ascii="Arial" w:hAnsi="Arial" w:eastAsia="Arial"/>
          <w:b/>
          <w:i w:val="0"/>
          <w:color w:val="0F172A"/>
          <w:sz w:val="20"/>
        </w:rPr>
        <w:t>Verbindlicher Basiskern</w:t>
      </w:r>
    </w:p>
    <w:p>
      <w:pPr>
        <w:numPr>
          <w:ilvl w:val="0"/>
          <w:numId w:val="10"/>
        </w:numPr>
        <w:spacing w:before="0" w:after="32" w:line="240" w:lineRule="auto"/>
      </w:pPr>
      <w:r>
        <w:rPr>
          <w:rFonts w:ascii="Arial" w:hAnsi="Arial" w:eastAsia="Arial"/>
          <w:b/>
          <w:i w:val="0"/>
          <w:color w:val="0F172A"/>
          <w:sz w:val="18"/>
        </w:rPr>
        <w:t>Nur freigegebene Werkzeuge und Unternehmenskonten nutzen.</w:t>
      </w:r>
    </w:p>
    <w:p>
      <w:pPr>
        <w:numPr>
          <w:ilvl w:val="0"/>
          <w:numId w:val="10"/>
        </w:numPr>
        <w:spacing w:before="0" w:after="32" w:line="240" w:lineRule="auto"/>
      </w:pPr>
      <w:r>
        <w:rPr>
          <w:rFonts w:ascii="Arial" w:hAnsi="Arial" w:eastAsia="Arial"/>
          <w:b/>
          <w:i w:val="0"/>
          <w:color w:val="0F172A"/>
          <w:sz w:val="18"/>
        </w:rPr>
        <w:t>Vor jeder Eingabe die Datenampel anwenden; rote Daten im Basisgebrauch nicht eingeben.</w:t>
      </w:r>
    </w:p>
    <w:p>
      <w:pPr>
        <w:numPr>
          <w:ilvl w:val="0"/>
          <w:numId w:val="10"/>
        </w:numPr>
        <w:spacing w:before="0" w:after="32" w:line="240" w:lineRule="auto"/>
      </w:pPr>
      <w:r>
        <w:rPr>
          <w:rFonts w:ascii="Arial" w:hAnsi="Arial" w:eastAsia="Arial"/>
          <w:b/>
          <w:i w:val="0"/>
          <w:color w:val="0F172A"/>
          <w:sz w:val="18"/>
        </w:rPr>
        <w:t>KI-Ausgaben vor Verwendung auf Fakten, Quellen, Rechte, Ton und Wirkung prüfen.</w:t>
      </w:r>
    </w:p>
    <w:p>
      <w:pPr>
        <w:numPr>
          <w:ilvl w:val="0"/>
          <w:numId w:val="10"/>
        </w:numPr>
        <w:spacing w:before="0" w:after="32" w:line="240" w:lineRule="auto"/>
      </w:pPr>
      <w:r>
        <w:rPr>
          <w:rFonts w:ascii="Arial" w:hAnsi="Arial" w:eastAsia="Arial"/>
          <w:b/>
          <w:i w:val="0"/>
          <w:color w:val="0F172A"/>
          <w:sz w:val="18"/>
        </w:rPr>
        <w:t>Verantwortung und folgenreiche Entscheidungen bleiben beim Menschen.</w:t>
      </w:r>
    </w:p>
    <w:p>
      <w:pPr>
        <w:numPr>
          <w:ilvl w:val="0"/>
          <w:numId w:val="10"/>
        </w:numPr>
        <w:spacing w:before="0" w:after="32" w:line="240" w:lineRule="auto"/>
      </w:pPr>
      <w:r>
        <w:rPr>
          <w:rFonts w:ascii="Arial" w:hAnsi="Arial" w:eastAsia="Arial"/>
          <w:b/>
          <w:i w:val="0"/>
          <w:color w:val="0F172A"/>
          <w:sz w:val="18"/>
        </w:rPr>
        <w:t>Unsichere, sensible oder ungewöhnliche Fälle stoppen und an die benannte interne Stelle eskalieren.</w:t>
      </w:r>
    </w:p>
    <w:p>
      <w:pPr>
        <w:pStyle w:val="Heading2"/>
        <w:spacing w:before="80" w:after="40"/>
      </w:pPr>
      <w:r>
        <w:rPr>
          <w:rFonts w:ascii="Arial" w:hAnsi="Arial" w:eastAsia="Arial"/>
          <w:b/>
          <w:i w:val="0"/>
          <w:color w:val="0F172A"/>
          <w:sz w:val="20"/>
        </w:rPr>
        <w:t>Unternehmensspezifische Festlegung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Freigegebene Werkzeuge / Kontotypen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[Werkzeug und zulässiger Unternehmenskontotyp]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Eingeschränkte Nutzungen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[Nicht freigegebene Zwecke, Funktionen oder Datenkategorien]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KI-/Tool-Verantwortung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[Rolle / Funktionspostfach]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Datenschutzkontakt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[Rolle / Funktionspostfach]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Sicherheitskontakt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[Rolle / Funktionspostfach]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Freigabeweg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[Prüfschritte, entscheidende Rolle und Dokumentationsort]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Gültig ab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[TT.MM.JJJJ]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Version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[interne Versionsnummer]</w:t>
            </w:r>
          </w:p>
        </w:tc>
      </w:tr>
      <w:tr>
        <w:trPr>
          <w:cantSplit/>
        </w:trPr>
        <w:tc>
          <w:tcPr>
            <w:tcW w:type="dxa" w:w="3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Management-Unterschrift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[Name / Funktion / Unterschrift]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</w:tblPr>
      <w:tblGrid>
        <w:gridCol w:w="9360"/>
      </w:tblGrid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rial" w:hAnsi="Arial" w:eastAsia="Arial"/>
                <w:b/>
                <w:i w:val="0"/>
                <w:color w:val="F59E0B"/>
                <w:sz w:val="15"/>
              </w:rPr>
              <w:t xml:space="preserve">SICHERE ANWENDUNG  </w:t>
            </w: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Nur synthetische oder robust anonymisierte, sichere Beispiele verwenden, etwa eine erfundene Terminankündigung. Reale personenbezogene, vertrauliche, sicherheitsrelevante oder rote Daten werden nie live in ein KI-Werkzeug eingegeben. Gelbe Fälle vorab über den Freigabeweg klären.</w:t>
            </w:r>
          </w:p>
        </w:tc>
      </w:tr>
    </w:tbl>
    <w:p>
      <w:pPr>
        <w:spacing w:after="0" w:line="240" w:lineRule="auto"/>
      </w:pPr>
      <w:r>
        <w:rPr>
          <w:rFonts w:ascii="Arial" w:hAnsi="Arial" w:eastAsia="Arial"/>
          <w:b w:val="0"/>
          <w:i w:val="0"/>
          <w:color w:val="475569"/>
          <w:sz w:val="15"/>
        </w:rPr>
        <w:t>Diese Vorlage ersetzt keine Rechtsberatung, Datenschutzprüfung, Sicherheitsprüfung oder Toolfreigabe.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 w:before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i w:val="0"/>
              <w:color w:val="2563EB"/>
              <w:sz w:val="16"/>
            </w:rPr>
            <w:t>MYHIWI / AI-STARTKLAR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475569"/>
              <w:sz w:val="16"/>
            </w:rPr>
            <w:t>KI-NUTZUNGSREGEL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KI-Nutzungsregel</dc:title>
  <dc:subject>KI-Nutzungsregel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