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 w:line="240" w:lineRule="auto"/>
      </w:pPr>
      <w:r>
        <w:rPr>
          <w:rFonts w:ascii="Arial" w:hAnsi="Arial" w:eastAsia="Arial"/>
          <w:b/>
          <w:i w:val="0"/>
          <w:color w:val="2563EB"/>
          <w:sz w:val="15"/>
        </w:rPr>
        <w:t>MANAGEMENT-MASSNAHMENBLATT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0F172A"/>
          <w:sz w:val="40"/>
        </w:rPr>
        <w:t>Die nächsten 30 Tage verbindlich planen</w:t>
      </w:r>
    </w:p>
    <w:p>
      <w:pPr>
        <w:spacing w:before="0" w:after="100" w:line="245" w:lineRule="auto"/>
      </w:pPr>
      <w:r>
        <w:rPr>
          <w:rFonts w:ascii="Arial" w:hAnsi="Arial" w:eastAsia="Arial"/>
          <w:b w:val="0"/>
          <w:i w:val="0"/>
          <w:color w:val="475569"/>
          <w:sz w:val="18"/>
        </w:rPr>
        <w:t>Sechs Maßnahmen mit Owner und Fälligkeit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1.0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22. Juli 2026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DOKUMENTTYP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Management-Maßnahmenblatt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Kunde / Schulung am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[Unternehmen]  /  [TT.MM.JJJJ]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Management-Verantwortung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[Name / Rolle]</w:t>
            </w:r>
          </w:p>
        </w:tc>
      </w:tr>
    </w:tbl>
    <w:p>
      <w:pPr>
        <w:pStyle w:val="Heading2"/>
        <w:spacing w:before="80" w:after="40"/>
      </w:pPr>
      <w:r>
        <w:rPr>
          <w:rFonts w:ascii="Arial" w:hAnsi="Arial" w:eastAsia="Arial"/>
          <w:b/>
          <w:i w:val="0"/>
          <w:color w:val="0F172A"/>
          <w:sz w:val="20"/>
        </w:rPr>
        <w:t>30-Tage-Maßnahmen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500"/>
        <w:gridCol w:w="3650"/>
        <w:gridCol w:w="1250"/>
        <w:gridCol w:w="1450"/>
        <w:gridCol w:w="2510"/>
      </w:tblGrid>
      <w:tr>
        <w:trPr>
          <w:tblHeader w:val="true"/>
        </w:trP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NR.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MASSNAHME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OWNER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FÄLLIGKEIT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STATUS / NÄCHSTER SCHRITT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freigegebene Werkzeuge und Kontotypen dokumentieren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interne Ansprech- und Freigabestellen benennen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einseitige KI-Nutzungsregel finalisieren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zwei risikoarme Anwendungsfälle kontrolliert testen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Vorfälle und Unsicherheiten erfassbar machen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6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Auffrischung oder Vertiefung nach sechs bis zwölf Monaten prüfen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[Owner]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80" w:after="8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[offen / in Arbeit / erledigt]</w:t>
            </w:r>
          </w:p>
        </w:tc>
      </w:tr>
    </w:tbl>
    <w:p>
      <w:pPr>
        <w:pStyle w:val="Heading2"/>
        <w:spacing w:before="80" w:after="40"/>
      </w:pPr>
      <w:r>
        <w:rPr>
          <w:rFonts w:ascii="Arial" w:hAnsi="Arial" w:eastAsia="Arial"/>
          <w:b/>
          <w:i w:val="0"/>
          <w:color w:val="0F172A"/>
          <w:sz w:val="20"/>
        </w:rPr>
        <w:t>Management-Entscheidung und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350"/>
        <w:gridCol w:w="6010"/>
      </w:tblGrid>
      <w:tr>
        <w:trPr>
          <w:cantSplit/>
        </w:trPr>
        <w:tc>
          <w:tcPr>
            <w:tcW w:type="dxa" w:w="3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Priorität der ersten drei Maßnahmen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[Nr. / Nr. / Nr.]</w:t>
            </w:r>
          </w:p>
        </w:tc>
      </w:tr>
      <w:tr>
        <w:trPr>
          <w:cantSplit/>
        </w:trPr>
        <w:tc>
          <w:tcPr>
            <w:tcW w:type="dxa" w:w="3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Abhängigkeiten / Eskalationen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[Kurznotiz ohne sensible Falldaten]</w:t>
            </w:r>
          </w:p>
        </w:tc>
      </w:tr>
      <w:tr>
        <w:trPr>
          <w:cantSplit/>
        </w:trPr>
        <w:tc>
          <w:tcPr>
            <w:tcW w:type="dxa" w:w="3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Nächster Review-Termin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</w:t>
            </w:r>
          </w:p>
        </w:tc>
      </w:tr>
      <w:tr>
        <w:trPr>
          <w:cantSplit/>
        </w:trPr>
        <w:tc>
          <w:tcPr>
            <w:tcW w:type="dxa" w:w="3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Freigabe Management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[Name / Datum / Unterschrift]</w:t>
            </w:r>
          </w:p>
        </w:tc>
      </w:tr>
    </w:tbl>
    <w:p>
      <w:pPr>
        <w:spacing w:after="0" w:line="240" w:lineRule="auto"/>
      </w:pPr>
      <w:r>
        <w:rPr>
          <w:rFonts w:ascii="Arial" w:hAnsi="Arial" w:eastAsia="Arial"/>
          <w:b w:val="0"/>
          <w:i w:val="0"/>
          <w:color w:val="475569"/>
          <w:sz w:val="15"/>
        </w:rPr>
        <w:t>Fortschritt und offene Risiken im nächsten Review prüfen. Diese Arbeitsunterlage ist keine Compliance-Zertifizierung.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 w:before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2563EB"/>
              <w:sz w:val="16"/>
            </w:rPr>
            <w:t>MYHIWI / AI-STARTKLAR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475569"/>
              <w:sz w:val="16"/>
            </w:rPr>
            <w:t>MASSNAHMENBLATT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30-Tage-Maßnahmenblatt</dc:title>
  <dc:subject>Maßnahmenblatt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