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color w:val="1F4FC9"/>
          <w:sz w:val="19"/>
        </w:rPr>
        <w:t>ENTSCHEIDUNGSHILFE</w:t>
      </w:r>
    </w:p>
    <w:p>
      <w:pPr>
        <w:pStyle w:val="Title"/>
      </w:pPr>
      <w:r>
        <w:t>Datenampel</w:t>
      </w:r>
    </w:p>
    <w:p>
      <w:pPr>
        <w:spacing w:after="160"/>
      </w:pPr>
      <w:r>
        <w:rPr>
          <w:rFonts w:ascii="Calibri" w:hAnsi="Calibri"/>
          <w:color w:val="5A5E55"/>
          <w:sz w:val="23"/>
        </w:rPr>
        <w:t>Vor jeder Eingabe: einordnen, stoppen oder freigegeben weiterarbeiten</w:t>
      </w:r>
    </w:p>
    <w:p>
      <w:pPr>
        <w:spacing w:after="100"/>
      </w:pPr>
      <w:r>
        <w:rPr>
          <w:rFonts w:ascii="Calibri" w:hAnsi="Calibri"/>
          <w:i/>
          <w:color w:val="5A5E55"/>
          <w:sz w:val="18"/>
        </w:rPr>
        <w:t>Die Ampel ist eine Lern- und Entscheidungsstütze. Sie ersetzt keine Tool-, Vertrags- oder Datenschutzprüfung.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60" w:type="dxa"/>
              <w:bottom w:w="55" w:type="dxa"/>
              <w:start w:w="120" w:type="dxa"/>
              <w:end w:w="120" w:type="dxa"/>
            </w:tcMar>
            <w:shd w:fill="E7F4EC"/>
          </w:tcPr>
          <w:p>
            <w:pPr>
              <w:keepNext/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1" name="Picture 1" descr="Kreis – GRÜN" title="Kreis – GRÜ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ün-circ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color w:val="1F2A2A"/>
                <w:sz w:val="21"/>
              </w:rPr>
              <w:t xml:space="preserve">  Grün – im freigegebenen Werkzeug grundsätzlich nutzbar</w:t>
            </w:r>
          </w:p>
          <w:p>
            <w:pPr>
              <w:pStyle w:val="MHZone"/>
              <w:numPr>
                <w:ilvl w:val="0"/>
                <w:numId w:val="10"/>
              </w:numPr>
            </w:pPr>
            <w:r>
              <w:rPr>
                <w:rFonts w:ascii="Calibri" w:hAnsi="Calibri"/>
                <w:color w:val="1F2A2A"/>
                <w:sz w:val="17"/>
              </w:rPr>
              <w:t>selbst erstellte synthetische Beispieldaten</w:t>
            </w:r>
          </w:p>
          <w:p>
            <w:pPr>
              <w:pStyle w:val="MHZone"/>
              <w:numPr>
                <w:ilvl w:val="0"/>
                <w:numId w:val="10"/>
              </w:numPr>
            </w:pPr>
            <w:r>
              <w:rPr>
                <w:rFonts w:ascii="Calibri" w:hAnsi="Calibri"/>
                <w:color w:val="1F2A2A"/>
                <w:sz w:val="17"/>
              </w:rPr>
              <w:t>bereits rechtmäßig veröffentlichte Informationen</w:t>
            </w:r>
          </w:p>
          <w:p>
            <w:pPr>
              <w:pStyle w:val="MHZone"/>
              <w:numPr>
                <w:ilvl w:val="0"/>
                <w:numId w:val="10"/>
              </w:numPr>
            </w:pPr>
            <w:r>
              <w:rPr>
                <w:rFonts w:ascii="Calibri" w:hAnsi="Calibri"/>
                <w:color w:val="1F2A2A"/>
                <w:sz w:val="17"/>
              </w:rPr>
              <w:t>ausdrücklich für diesen Zweck freigegebene Unternehmensinformationen</w:t>
            </w:r>
          </w:p>
          <w:p>
            <w:pPr>
              <w:pStyle w:val="MHZone"/>
              <w:numPr>
                <w:ilvl w:val="0"/>
                <w:numId w:val="10"/>
              </w:numPr>
            </w:pPr>
            <w:r>
              <w:rPr>
                <w:rFonts w:ascii="Calibri" w:hAnsi="Calibri"/>
                <w:color w:val="1F2A2A"/>
                <w:sz w:val="17"/>
              </w:rPr>
              <w:t>robuste, tatsächlich nicht rückführbare anonymisierte Inhalte</w:t>
            </w:r>
          </w:p>
          <w:p>
            <w:pPr>
              <w:pStyle w:val="MHZone"/>
              <w:numPr>
                <w:ilvl w:val="0"/>
                <w:numId w:val="10"/>
              </w:numPr>
            </w:pPr>
            <w:r>
              <w:rPr>
                <w:rFonts w:ascii="Calibri" w:hAnsi="Calibri"/>
                <w:color w:val="1F2A2A"/>
                <w:sz w:val="17"/>
              </w:rPr>
              <w:t>allgemeine Ideen und Aufgaben ohne Personen- oder Geheimnisbezug</w:t>
            </w:r>
          </w:p>
          <w:p>
            <w:pPr>
              <w:pStyle w:val="MHZone"/>
              <w:spacing w:before="20"/>
            </w:pPr>
            <w:r>
              <w:rPr>
                <w:rFonts w:ascii="Calibri" w:hAnsi="Calibri"/>
                <w:b/>
                <w:color w:val="1F2A2A"/>
                <w:sz w:val="17"/>
              </w:rPr>
              <w:t>Auch grüne Inhalte dürfen nur in genehmigten Werkzeugen und für legitime Zwecke verwendet werden.</w:t>
            </w:r>
          </w:p>
        </w:tc>
      </w:tr>
    </w:tbl>
    <w:p>
      <w:pPr>
        <w:spacing w:after="20" w:lineRule="exact" w:line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60" w:type="dxa"/>
              <w:bottom w:w="55" w:type="dxa"/>
              <w:start w:w="120" w:type="dxa"/>
              <w:end w:w="120" w:type="dxa"/>
            </w:tcMar>
            <w:shd w:fill="FFF4CC"/>
          </w:tcPr>
          <w:p>
            <w:pPr>
              <w:keepNext/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2" name="Picture 2" descr="Dreieck – GELB" title="Dreieck – GEL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lb-triang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color w:val="1F2A2A"/>
                <w:sz w:val="21"/>
              </w:rPr>
              <w:t xml:space="preserve">  Gelb – erst nach interner Prüfung und Freigabe</w:t>
            </w:r>
          </w:p>
          <w:p>
            <w:pPr>
              <w:pStyle w:val="MHZone"/>
              <w:numPr>
                <w:ilvl w:val="0"/>
                <w:numId w:val="11"/>
              </w:numPr>
            </w:pPr>
            <w:r>
              <w:rPr>
                <w:rFonts w:ascii="Calibri" w:hAnsi="Calibri"/>
                <w:color w:val="1F2A2A"/>
                <w:sz w:val="17"/>
              </w:rPr>
              <w:t>interne, nicht öffentliche Informationen mit geringer Sensibilität</w:t>
            </w:r>
          </w:p>
          <w:p>
            <w:pPr>
              <w:pStyle w:val="MHZone"/>
              <w:numPr>
                <w:ilvl w:val="0"/>
                <w:numId w:val="11"/>
              </w:numPr>
            </w:pPr>
            <w:r>
              <w:rPr>
                <w:rFonts w:ascii="Calibri" w:hAnsi="Calibri"/>
                <w:color w:val="1F2A2A"/>
                <w:sz w:val="17"/>
              </w:rPr>
              <w:t>Vertrags- oder Projektdaten ohne offensichtliche Personendaten</w:t>
            </w:r>
          </w:p>
          <w:p>
            <w:pPr>
              <w:pStyle w:val="MHZone"/>
              <w:numPr>
                <w:ilvl w:val="0"/>
                <w:numId w:val="11"/>
              </w:numPr>
            </w:pPr>
            <w:r>
              <w:rPr>
                <w:rFonts w:ascii="Calibri" w:hAnsi="Calibri"/>
                <w:color w:val="1F2A2A"/>
                <w:sz w:val="17"/>
              </w:rPr>
              <w:t>pseudonymisierte Daten</w:t>
            </w:r>
          </w:p>
          <w:p>
            <w:pPr>
              <w:pStyle w:val="MHZone"/>
              <w:numPr>
                <w:ilvl w:val="0"/>
                <w:numId w:val="11"/>
              </w:numPr>
            </w:pPr>
            <w:r>
              <w:rPr>
                <w:rFonts w:ascii="Calibri" w:hAnsi="Calibri"/>
                <w:color w:val="1F2A2A"/>
                <w:sz w:val="17"/>
              </w:rPr>
              <w:t>umfangreiche fremde oder lizenzierte Inhalte</w:t>
            </w:r>
          </w:p>
          <w:p>
            <w:pPr>
              <w:pStyle w:val="MHZone"/>
              <w:numPr>
                <w:ilvl w:val="0"/>
                <w:numId w:val="11"/>
              </w:numPr>
            </w:pPr>
            <w:r>
              <w:rPr>
                <w:rFonts w:ascii="Calibri" w:hAnsi="Calibri"/>
                <w:color w:val="1F2A2A"/>
                <w:sz w:val="17"/>
              </w:rPr>
              <w:t>Informationen, deren Vertraulichkeit oder Rechtslage unklar ist</w:t>
            </w:r>
          </w:p>
          <w:p>
            <w:pPr>
              <w:pStyle w:val="MHZone"/>
              <w:numPr>
                <w:ilvl w:val="0"/>
                <w:numId w:val="11"/>
              </w:numPr>
            </w:pPr>
            <w:r>
              <w:rPr>
                <w:rFonts w:ascii="Calibri" w:hAnsi="Calibri"/>
                <w:color w:val="1F2A2A"/>
                <w:sz w:val="17"/>
              </w:rPr>
              <w:t>Daten, die nur in bestimmten Unternehmenskonten oder technischen Umgebungen zulässig sein könnten</w:t>
            </w:r>
          </w:p>
          <w:p>
            <w:pPr>
              <w:pStyle w:val="MHZone"/>
              <w:spacing w:before="20"/>
            </w:pPr>
            <w:r>
              <w:rPr>
                <w:rFonts w:ascii="Calibri" w:hAnsi="Calibri"/>
                <w:b/>
                <w:color w:val="1F2A2A"/>
                <w:sz w:val="17"/>
              </w:rPr>
              <w:t>Gelb bedeutet nicht „vorsichtig eingeben“, sondern „vorher zuständige Person und zulässiges Werkzeug klären“.</w:t>
            </w:r>
          </w:p>
        </w:tc>
      </w:tr>
    </w:tbl>
    <w:p>
      <w:pPr>
        <w:spacing w:after="20" w:lineRule="exact" w:line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60" w:type="dxa"/>
              <w:bottom w:w="55" w:type="dxa"/>
              <w:start w:w="120" w:type="dxa"/>
              <w:end w:w="120" w:type="dxa"/>
            </w:tcMar>
            <w:shd w:fill="FCE8E6"/>
          </w:tcPr>
          <w:p>
            <w:pPr>
              <w:keepNext/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237744" cy="237744"/>
                  <wp:docPr id="3" name="Picture 3" descr="Achteck – ROT" title="Achteck – R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-octag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  <w:b/>
                <w:color w:val="1F2A2A"/>
                <w:sz w:val="21"/>
              </w:rPr>
              <w:t xml:space="preserve">  Rot – im Basistraining niemals eingeben</w:t>
            </w:r>
          </w:p>
          <w:p>
            <w:pPr>
              <w:pStyle w:val="MHZone"/>
              <w:numPr>
                <w:ilvl w:val="0"/>
                <w:numId w:val="12"/>
              </w:numPr>
            </w:pPr>
            <w:r>
              <w:rPr>
                <w:rFonts w:ascii="Calibri" w:hAnsi="Calibri"/>
                <w:color w:val="1F2A2A"/>
                <w:sz w:val="17"/>
              </w:rPr>
              <w:t>Passwörter, Zugangsdaten, Schlüssel und Sicherheitsinformationen</w:t>
            </w:r>
          </w:p>
          <w:p>
            <w:pPr>
              <w:pStyle w:val="MHZone"/>
              <w:numPr>
                <w:ilvl w:val="0"/>
                <w:numId w:val="12"/>
              </w:numPr>
            </w:pPr>
            <w:r>
              <w:rPr>
                <w:rFonts w:ascii="Calibri" w:hAnsi="Calibri"/>
                <w:color w:val="1F2A2A"/>
                <w:sz w:val="17"/>
              </w:rPr>
              <w:t>Geschäftsgeheimnisse und hochvertrauliche Strategien</w:t>
            </w:r>
          </w:p>
          <w:p>
            <w:pPr>
              <w:pStyle w:val="MHZone"/>
              <w:numPr>
                <w:ilvl w:val="0"/>
                <w:numId w:val="12"/>
              </w:numPr>
            </w:pPr>
            <w:r>
              <w:rPr>
                <w:rFonts w:ascii="Calibri" w:hAnsi="Calibri"/>
                <w:color w:val="1F2A2A"/>
                <w:sz w:val="17"/>
              </w:rPr>
              <w:t>nicht veröffentlichte Finanz-, Transaktions- oder Preisinformationen</w:t>
            </w:r>
          </w:p>
          <w:p>
            <w:pPr>
              <w:pStyle w:val="MHZone"/>
              <w:numPr>
                <w:ilvl w:val="0"/>
                <w:numId w:val="12"/>
              </w:numPr>
            </w:pPr>
            <w:r>
              <w:rPr>
                <w:rFonts w:ascii="Calibri" w:hAnsi="Calibri"/>
                <w:color w:val="1F2A2A"/>
                <w:sz w:val="17"/>
              </w:rPr>
              <w:t>Beschäftigten-, Bewerber-, Kunden- oder Patientendaten</w:t>
            </w:r>
          </w:p>
          <w:p>
            <w:pPr>
              <w:pStyle w:val="MHZone"/>
              <w:numPr>
                <w:ilvl w:val="0"/>
                <w:numId w:val="12"/>
              </w:numPr>
            </w:pPr>
            <w:r>
              <w:rPr>
                <w:rFonts w:ascii="Calibri" w:hAnsi="Calibri"/>
                <w:color w:val="1F2A2A"/>
                <w:sz w:val="17"/>
              </w:rPr>
              <w:t>Gesundheitsdaten und andere besonders geschützte personenbezogene Daten</w:t>
            </w:r>
          </w:p>
          <w:p>
            <w:pPr>
              <w:pStyle w:val="MHZone"/>
              <w:numPr>
                <w:ilvl w:val="0"/>
                <w:numId w:val="12"/>
              </w:numPr>
            </w:pPr>
            <w:r>
              <w:rPr>
                <w:rFonts w:ascii="Calibri" w:hAnsi="Calibri"/>
                <w:color w:val="1F2A2A"/>
                <w:sz w:val="17"/>
              </w:rPr>
              <w:t>Rechtsfälle, Berufsgeheimnisse oder vertrauliche Beratungssachverhalte</w:t>
            </w:r>
          </w:p>
          <w:p>
            <w:pPr>
              <w:pStyle w:val="MHZone"/>
              <w:numPr>
                <w:ilvl w:val="0"/>
                <w:numId w:val="12"/>
              </w:numPr>
            </w:pPr>
            <w:r>
              <w:rPr>
                <w:rFonts w:ascii="Calibri" w:hAnsi="Calibri"/>
                <w:color w:val="1F2A2A"/>
                <w:sz w:val="17"/>
              </w:rPr>
              <w:t>sicherheitskritische technische Informationen</w:t>
            </w:r>
          </w:p>
          <w:p>
            <w:pPr>
              <w:pStyle w:val="MHZone"/>
              <w:numPr>
                <w:ilvl w:val="0"/>
                <w:numId w:val="12"/>
              </w:numPr>
            </w:pPr>
            <w:r>
              <w:rPr>
                <w:rFonts w:ascii="Calibri" w:hAnsi="Calibri"/>
                <w:color w:val="1F2A2A"/>
                <w:sz w:val="17"/>
              </w:rPr>
              <w:t>Inhalte, für deren Verwendung keine Rechte oder Freigaben bestehen</w:t>
            </w:r>
          </w:p>
          <w:p>
            <w:pPr>
              <w:pStyle w:val="MHZone"/>
              <w:spacing w:before="20"/>
            </w:pPr>
            <w:r>
              <w:rPr>
                <w:rFonts w:ascii="Calibri" w:hAnsi="Calibri"/>
                <w:b/>
                <w:color w:val="1F2A2A"/>
                <w:sz w:val="17"/>
              </w:rPr>
              <w:t>Ein roter Inhalt kann in einem spezialisierten, geprüften System unter bestimmten Bedingungen zulässig sein. Diese Prüfung ist nicht Teil des Basisprodukts.</w:t>
            </w:r>
          </w:p>
        </w:tc>
      </w:tr>
    </w:tbl>
    <w:p>
      <w:pPr>
        <w:spacing w:after="20" w:lineRule="exact" w:line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A5E55"/>
        <w:sz w:val="17"/>
      </w:rPr>
      <w:t xml:space="preserve">MyHiwi AI-Startklar  ·  </w:t>
    </w:r>
    <w:r>
      <w:rPr>
        <w:rFonts w:ascii="Calibri" w:hAnsi="Calibri"/>
        <w:color w:val="5A5E5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A5E55"/>
        <w:sz w:val="16"/>
      </w:rPr>
      <w:t>MYHIWI  /  AI-STARTKLAR  /  DATENAMPEL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</w:pPr>
      <w:rPr>
        <w:rFonts w:ascii="DejaVu Sans" w:hAnsi="DejaVu Sans"/>
      </w:rPr>
    </w:lvl>
  </w:abstract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A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FC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F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F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2A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HCompact">
    <w:name w:val="MH Compact"/>
    <w:pPr>
      <w:spacing w:before="0" w:after="60" w:line="259" w:lineRule="auto"/>
    </w:pPr>
    <w:rPr>
      <w:rFonts w:ascii="Calibri" w:hAnsi="Calibri"/>
      <w:color w:val="1F2A2A"/>
      <w:sz w:val="20"/>
    </w:rPr>
  </w:style>
  <w:style w:type="paragraph" w:customStyle="1" w:styleId="MHChecklist">
    <w:name w:val="MH Checklist"/>
    <w:pPr>
      <w:spacing w:before="0" w:after="60" w:line="259" w:lineRule="auto"/>
    </w:pPr>
    <w:rPr>
      <w:rFonts w:ascii="Calibri" w:hAnsi="Calibri"/>
      <w:color w:val="1F2A2A"/>
      <w:sz w:val="19"/>
    </w:rPr>
  </w:style>
  <w:style w:type="paragraph" w:customStyle="1" w:styleId="MHZone">
    <w:name w:val="MH Zone"/>
    <w:pPr>
      <w:spacing w:before="0" w:after="16" w:line="240" w:lineRule="auto"/>
    </w:pPr>
    <w:rPr>
      <w:rFonts w:ascii="Calibri" w:hAnsi="Calibri"/>
      <w:color w:val="1F2A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 – Datenampel</dc:title>
  <dc:subject>MyHiwi AI-Startklar</dc:subject>
  <dc:creator>MyHiwi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