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60"/>
      </w:pPr>
      <w:r>
        <w:rPr>
          <w:rFonts w:ascii="Calibri" w:hAnsi="Calibri"/>
          <w:b/>
          <w:color w:val="1F4FC9"/>
          <w:sz w:val="19"/>
        </w:rPr>
        <w:t>NUR FÜR TRAINER</w:t>
      </w:r>
    </w:p>
    <w:p>
      <w:pPr>
        <w:pStyle w:val="Title"/>
      </w:pPr>
      <w:r>
        <w:t>Lösungsschlüssel</w:t>
      </w:r>
    </w:p>
    <w:p>
      <w:pPr>
        <w:spacing w:after="160"/>
      </w:pPr>
      <w:r>
        <w:rPr>
          <w:rFonts w:ascii="Calibri" w:hAnsi="Calibri"/>
          <w:color w:val="5A5E55"/>
          <w:sz w:val="23"/>
        </w:rPr>
        <w:t>Genehmigte Antworten und Hinweise zur unmittelbaren Besprechung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CE8E6"/>
          <w:left w:val="single" w:sz="4" w:space="0" w:color="FCE8E6"/>
          <w:bottom w:val="single" w:sz="4" w:space="0" w:color="FCE8E6"/>
          <w:right w:val="single" w:sz="4" w:space="0" w:color="FCE8E6"/>
          <w:insideH w:val="single" w:sz="4" w:space="0" w:color="FCE8E6"/>
          <w:insideV w:val="single" w:sz="4" w:space="0" w:color="FCE8E6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CE8E6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 w:val="0"/>
                <w:color w:val="1F2A2A"/>
                <w:sz w:val="21"/>
              </w:rPr>
              <w:t>Trainerunterlage: Nicht mit Teilnehmerunterlagen ausgeben. Falsche Antworten unmittelbar besprechen; der Check ist keine formale Prüfung.</w:t>
            </w:r>
          </w:p>
        </w:tc>
      </w:tr>
    </w:tbl>
    <w:p>
      <w:pPr>
        <w:spacing w:after="4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163F9E"/>
          <w:sz w:val="25"/>
        </w:rPr>
        <w:t>1. Warum kann eine sprachlich überzeugende KI-Antwort trotzdem falsch sein?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DE7DA"/>
          <w:left w:val="single" w:sz="4" w:space="0" w:color="EDE7DA"/>
          <w:bottom w:val="single" w:sz="4" w:space="0" w:color="EDE7DA"/>
          <w:right w:val="single" w:sz="4" w:space="0" w:color="EDE7DA"/>
          <w:insideH w:val="single" w:sz="4" w:space="0" w:color="EDE7DA"/>
          <w:insideV w:val="single" w:sz="4" w:space="0" w:color="EDE7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EDE7D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Musterantwort: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Generative KI erzeugt sprachlich wahrscheinliche Ausgaben und prüft nicht automatisch, ob jede Aussage wahr, aktuell oder vollständig ist.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Korrekturhinweis: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Nicht „die KI weiß es“, sondern Wahrscheinlichkeitsausgabe ohne automatische Wahrheitsprüfung erklären.</w:t>
            </w:r>
          </w:p>
        </w:tc>
      </w:tr>
    </w:tbl>
    <w:p>
      <w:pPr>
        <w:spacing w:after="4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163F9E"/>
          <w:sz w:val="25"/>
        </w:rPr>
        <w:t>2. Welche sechs Bestandteile hat ein guter Prompt in dieser Schulung?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DE7DA"/>
          <w:left w:val="single" w:sz="4" w:space="0" w:color="EDE7DA"/>
          <w:bottom w:val="single" w:sz="4" w:space="0" w:color="EDE7DA"/>
          <w:right w:val="single" w:sz="4" w:space="0" w:color="EDE7DA"/>
          <w:insideH w:val="single" w:sz="4" w:space="0" w:color="EDE7DA"/>
          <w:insideV w:val="single" w:sz="4" w:space="0" w:color="EDE7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EDE7D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Musterantwort: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Aufgabe, Kontext, Material, Anforderungen, Ausgabeformat und Prüfkriterien.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Korrekturhinweis: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Alle sechs Bausteine nennen; Anforderungen und Prüfkriterien nicht miteinander vermischen.</w:t>
            </w:r>
          </w:p>
        </w:tc>
      </w:tr>
    </w:tbl>
    <w:p>
      <w:pPr>
        <w:spacing w:after="40"/>
      </w:pPr>
    </w:p>
    <w:p>
      <w:pPr>
        <w:spacing w:before="0" w:after="0"/>
      </w:pPr>
      <w:r>
        <w:br w:type="page"/>
      </w:r>
    </w:p>
    <w:p>
      <w:pPr>
        <w:spacing w:before="240" w:after="160"/>
      </w:pPr>
      <w:r>
        <w:rPr>
          <w:rFonts w:ascii="Calibri" w:hAnsi="Calibri"/>
          <w:b/>
          <w:color w:val="1F4FC9"/>
          <w:sz w:val="28"/>
        </w:rPr>
        <w:t>LÖSUNGSSCHLÜSSEL · FRAGEN 3–4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63F9E"/>
          <w:sz w:val="25"/>
        </w:rPr>
        <w:t>3. Nennen Sie zwei typische Risiken generativer KI.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DE7DA"/>
          <w:left w:val="single" w:sz="4" w:space="0" w:color="EDE7DA"/>
          <w:bottom w:val="single" w:sz="4" w:space="0" w:color="EDE7DA"/>
          <w:right w:val="single" w:sz="4" w:space="0" w:color="EDE7DA"/>
          <w:insideH w:val="single" w:sz="4" w:space="0" w:color="EDE7DA"/>
          <w:insideV w:val="single" w:sz="4" w:space="0" w:color="EDE7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EDE7D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Musterantwort: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Zwei passende Beispiele aus: erfundene Fakten, veraltete Informationen, falsche Quellen, Verzerrungen, Datenabfluss, Rechteprobleme oder unangemessene Ausgaben.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Korrekturhinweis: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Zwei konkrete Risiken genügen; pauschale Aussagen wie „KI ist gefährlich“ gemeinsam präzisieren.</w:t>
            </w:r>
          </w:p>
        </w:tc>
      </w:tr>
    </w:tbl>
    <w:p>
      <w:pPr>
        <w:spacing w:after="4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163F9E"/>
          <w:sz w:val="25"/>
        </w:rPr>
        <w:t>4. Welche Informationen gehören im Basistraining in die rote Ampelzone?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DE7DA"/>
          <w:left w:val="single" w:sz="4" w:space="0" w:color="EDE7DA"/>
          <w:bottom w:val="single" w:sz="4" w:space="0" w:color="EDE7DA"/>
          <w:right w:val="single" w:sz="4" w:space="0" w:color="EDE7DA"/>
          <w:insideH w:val="single" w:sz="4" w:space="0" w:color="EDE7DA"/>
          <w:insideV w:val="single" w:sz="4" w:space="0" w:color="EDE7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EDE7D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Musterantwort: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Insbesondere Zugangsdaten, Geschäftsgeheimnisse, Beschäftigten-, Bewerber-, Kunden-, Patienten-, Gesundheits- und andere besonders sensible Daten sowie sicherheitskritische Informationen.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Korrekturhinweis: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Rote Daten nicht mit gelben internen Informationen verwechseln und keine spontane Anonymisierung als automatische Freigabe behandeln.</w:t>
            </w:r>
          </w:p>
        </w:tc>
      </w:tr>
    </w:tbl>
    <w:p>
      <w:pPr>
        <w:spacing w:after="40"/>
      </w:pPr>
    </w:p>
    <w:p>
      <w:pPr>
        <w:spacing w:before="0" w:after="0"/>
      </w:pPr>
      <w:r>
        <w:br w:type="page"/>
      </w:r>
    </w:p>
    <w:p>
      <w:pPr>
        <w:spacing w:before="240" w:after="160"/>
      </w:pPr>
      <w:r>
        <w:rPr>
          <w:rFonts w:ascii="Calibri" w:hAnsi="Calibri"/>
          <w:b/>
          <w:color w:val="1F4FC9"/>
          <w:sz w:val="28"/>
        </w:rPr>
        <w:t>LÖSUNGSSCHLÜSSEL · FRAGEN 5–6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63F9E"/>
          <w:sz w:val="25"/>
        </w:rPr>
        <w:t>5. Was bedeutet die gelbe Ampelzone?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DE7DA"/>
          <w:left w:val="single" w:sz="4" w:space="0" w:color="EDE7DA"/>
          <w:bottom w:val="single" w:sz="4" w:space="0" w:color="EDE7DA"/>
          <w:right w:val="single" w:sz="4" w:space="0" w:color="EDE7DA"/>
          <w:insideH w:val="single" w:sz="4" w:space="0" w:color="EDE7DA"/>
          <w:insideV w:val="single" w:sz="4" w:space="0" w:color="EDE7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EDE7D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Musterantwort: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Nicht eingeben, sondern Werkzeug, Zweck, Daten und interne Freigabe zuerst mit der zuständigen Stelle klären.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Korrekturhinweis: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Gelb bedeutet stoppen und klären, nicht „vorsichtig“ oder mit weniger Details eingeben.</w:t>
            </w:r>
          </w:p>
        </w:tc>
      </w:tr>
    </w:tbl>
    <w:p>
      <w:pPr>
        <w:spacing w:after="4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163F9E"/>
          <w:sz w:val="25"/>
        </w:rPr>
        <w:t>6. Wer trägt die Verantwortung für die Verwendung einer KI-Ausgabe?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DE7DA"/>
          <w:left w:val="single" w:sz="4" w:space="0" w:color="EDE7DA"/>
          <w:bottom w:val="single" w:sz="4" w:space="0" w:color="EDE7DA"/>
          <w:right w:val="single" w:sz="4" w:space="0" w:color="EDE7DA"/>
          <w:insideH w:val="single" w:sz="4" w:space="0" w:color="EDE7DA"/>
          <w:insideV w:val="single" w:sz="4" w:space="0" w:color="EDE7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EDE7D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Musterantwort: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Der verantwortliche Mensch beziehungsweise die vom Unternehmen festgelegte freigabeberechtigte Stelle.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Korrekturhinweis: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Weder das Modell noch der Toolanbieter übernimmt den betrieblichen Prüf- und Freigabeweg.</w:t>
            </w:r>
          </w:p>
        </w:tc>
      </w:tr>
    </w:tbl>
    <w:p>
      <w:pPr>
        <w:spacing w:after="40"/>
      </w:pPr>
    </w:p>
    <w:p>
      <w:pPr>
        <w:spacing w:before="0" w:after="0"/>
      </w:pPr>
      <w:r>
        <w:br w:type="page"/>
      </w:r>
    </w:p>
    <w:p>
      <w:pPr>
        <w:spacing w:before="240" w:after="160"/>
      </w:pPr>
      <w:r>
        <w:rPr>
          <w:rFonts w:ascii="Calibri" w:hAnsi="Calibri"/>
          <w:b/>
          <w:color w:val="1F4FC9"/>
          <w:sz w:val="28"/>
        </w:rPr>
        <w:t>LÖSUNGSSCHLÜSSEL · FRAGEN 7–8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63F9E"/>
          <w:sz w:val="25"/>
        </w:rPr>
        <w:t>7. Welche Punkte prüfen Sie bei Zahlen und Quellen?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DE7DA"/>
          <w:left w:val="single" w:sz="4" w:space="0" w:color="EDE7DA"/>
          <w:bottom w:val="single" w:sz="4" w:space="0" w:color="EDE7DA"/>
          <w:right w:val="single" w:sz="4" w:space="0" w:color="EDE7DA"/>
          <w:insideH w:val="single" w:sz="4" w:space="0" w:color="EDE7DA"/>
          <w:insideV w:val="single" w:sz="4" w:space="0" w:color="EDE7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EDE7D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Musterantwort: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Zahlen mit einer belastbaren Originalquelle abgleichen; Quelle auf Existenz, Aussage, Aktualität und Kontext prüfen.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Korrekturhinweis: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Ein plausibler Link genügt nicht; Quelle öffnen und prüfen, ob sie die konkrete Aussage tatsächlich trägt.</w:t>
            </w:r>
          </w:p>
        </w:tc>
      </w:tr>
    </w:tbl>
    <w:p>
      <w:pPr>
        <w:spacing w:after="4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163F9E"/>
          <w:sz w:val="25"/>
        </w:rPr>
        <w:t>8. Was tun Sie, wenn ein Ergebnis eine Person erheblich betreffen könnte?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DE7DA"/>
          <w:left w:val="single" w:sz="4" w:space="0" w:color="EDE7DA"/>
          <w:bottom w:val="single" w:sz="4" w:space="0" w:color="EDE7DA"/>
          <w:right w:val="single" w:sz="4" w:space="0" w:color="EDE7DA"/>
          <w:insideH w:val="single" w:sz="4" w:space="0" w:color="EDE7DA"/>
          <w:insideV w:val="single" w:sz="4" w:space="0" w:color="EDE7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EDE7D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Musterantwort: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Einsatz stoppen, nicht automatisch entscheiden lassen und den Fall an die zuständige Fach-, Rechts-, Datenschutz- oder Sicherheitsstelle geben.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Korrekturhinweis: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Ein allgemeiner Hinweis auf „menschliche Kontrolle“ reicht ohne Stopp und zuständigen Eskalationsweg nicht aus.</w:t>
            </w:r>
          </w:p>
        </w:tc>
      </w:tr>
    </w:tbl>
    <w:p>
      <w:pPr>
        <w:spacing w:after="40"/>
      </w:pPr>
    </w:p>
    <w:p>
      <w:pPr>
        <w:spacing w:before="0" w:after="0"/>
      </w:pPr>
      <w:r>
        <w:br w:type="page"/>
      </w:r>
    </w:p>
    <w:p>
      <w:pPr>
        <w:spacing w:before="240" w:after="160"/>
      </w:pPr>
      <w:r>
        <w:rPr>
          <w:rFonts w:ascii="Calibri" w:hAnsi="Calibri"/>
          <w:b/>
          <w:color w:val="1F4FC9"/>
          <w:sz w:val="28"/>
        </w:rPr>
        <w:t>LÖSUNGSSCHLÜSSEL · FRAGEN 9–10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63F9E"/>
          <w:sz w:val="25"/>
        </w:rPr>
        <w:t>9. Warum reicht ein privater kostenloser Toolzugang nicht automatisch für Unternehmensdaten?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DE7DA"/>
          <w:left w:val="single" w:sz="4" w:space="0" w:color="EDE7DA"/>
          <w:bottom w:val="single" w:sz="4" w:space="0" w:color="EDE7DA"/>
          <w:right w:val="single" w:sz="4" w:space="0" w:color="EDE7DA"/>
          <w:insideH w:val="single" w:sz="4" w:space="0" w:color="EDE7DA"/>
          <w:insideV w:val="single" w:sz="4" w:space="0" w:color="EDE7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EDE7D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Musterantwort: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Weil Vertrag, Kontotyp, Einstellungen, Datenverwendung, Speicherort, Zugriffe und Unternehmensfreigabe entscheidend sind.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Korrekturhinweis: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Nicht allein Preis oder Bekanntheit des Tools bewerten; die konkrete betriebliche Konfiguration und Freigabe zählen.</w:t>
            </w:r>
          </w:p>
        </w:tc>
      </w:tr>
    </w:tbl>
    <w:p>
      <w:pPr>
        <w:spacing w:after="4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163F9E"/>
          <w:sz w:val="25"/>
        </w:rPr>
        <w:t>10. An wen eskalieren Sie im Unternehmen einen unklaren Fall?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DE7DA"/>
          <w:left w:val="single" w:sz="4" w:space="0" w:color="EDE7DA"/>
          <w:bottom w:val="single" w:sz="4" w:space="0" w:color="EDE7DA"/>
          <w:right w:val="single" w:sz="4" w:space="0" w:color="EDE7DA"/>
          <w:insideH w:val="single" w:sz="4" w:space="0" w:color="EDE7DA"/>
          <w:insideV w:val="single" w:sz="4" w:space="0" w:color="EDE7D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EDE7D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Musterantwort: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Die im Management-Vorgespräch benannte interne Stelle; ohne benannte Stelle wird der Fall an die verantwortliche Führungskraft zurückgegeben.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/>
                <w:color w:val="163F9E"/>
                <w:sz w:val="21"/>
              </w:rPr>
              <w:t xml:space="preserve">Korrekturhinweis: </w:t>
            </w:r>
            <w:r>
              <w:rPr>
                <w:rFonts w:ascii="Calibri" w:hAnsi="Calibri"/>
                <w:b w:val="0"/>
                <w:color w:val="1F2A2A"/>
                <w:sz w:val="21"/>
              </w:rPr>
              <w:t>Keine Zuständigkeit erfinden; den vorbereiteten internen Kontakt nutzen oder an die verantwortliche Führungskraft zurückgeben.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A5E55"/>
        <w:sz w:val="17"/>
      </w:rPr>
      <w:t xml:space="preserve">MyHiwi AI-Startklar  ·  </w:t>
    </w:r>
    <w:r>
      <w:rPr>
        <w:rFonts w:ascii="Calibri" w:hAnsi="Calibri"/>
        <w:color w:val="5A5E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A5E55"/>
        <w:sz w:val="16"/>
      </w:rPr>
      <w:t xml:space="preserve">MYHIWI  /  AI-STARTKLAR  /  LÖSUNGSSCHLÜSSEL  /  </w:t>
    </w:r>
    <w:r>
      <w:rPr>
        <w:rFonts w:ascii="Calibri" w:hAnsi="Calibri"/>
        <w:b/>
        <w:color w:val="163F9E"/>
        <w:sz w:val="16"/>
      </w:rPr>
      <w:t>Nur für Trainer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F2A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FC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4FC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63F9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2A2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HCompact">
    <w:name w:val="MH Compact"/>
    <w:pPr>
      <w:spacing w:before="0" w:after="60" w:line="259" w:lineRule="auto"/>
    </w:pPr>
    <w:rPr>
      <w:rFonts w:ascii="Calibri" w:hAnsi="Calibri"/>
      <w:color w:val="1F2A2A"/>
      <w:sz w:val="20"/>
    </w:rPr>
  </w:style>
  <w:style w:type="paragraph" w:customStyle="1" w:styleId="MHChecklist">
    <w:name w:val="MH Checklist"/>
    <w:pPr>
      <w:spacing w:before="0" w:after="60" w:line="259" w:lineRule="auto"/>
    </w:pPr>
    <w:rPr>
      <w:rFonts w:ascii="Calibri" w:hAnsi="Calibri"/>
      <w:color w:val="1F2A2A"/>
      <w:sz w:val="19"/>
    </w:rPr>
  </w:style>
  <w:style w:type="paragraph" w:customStyle="1" w:styleId="MHZone">
    <w:name w:val="MH Zone"/>
    <w:pPr>
      <w:spacing w:before="0" w:after="16" w:line="240" w:lineRule="auto"/>
    </w:pPr>
    <w:rPr>
      <w:rFonts w:ascii="Calibri" w:hAnsi="Calibri"/>
      <w:color w:val="1F2A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MyHiwi AI-Startklar – Lösungsschlüssel</dc:title>
  <dc:subject>MyHiwi AI-Startklar</dc:subject>
  <dc:creator>MyHiwi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