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</w:pPr>
      <w:r>
        <w:rPr>
          <w:rFonts w:ascii="Calibri" w:hAnsi="Calibri"/>
          <w:b/>
          <w:color w:val="1F4FC9"/>
          <w:sz w:val="19"/>
        </w:rPr>
        <w:t>NUR FÜR TRAINER</w:t>
      </w:r>
    </w:p>
    <w:p>
      <w:pPr>
        <w:pStyle w:val="Title"/>
      </w:pPr>
      <w:r>
        <w:t>Lösungsschlüssel</w:t>
      </w:r>
    </w:p>
    <w:p>
      <w:pPr>
        <w:spacing w:after="160"/>
      </w:pPr>
      <w:r>
        <w:rPr>
          <w:rFonts w:ascii="Calibri" w:hAnsi="Calibri"/>
          <w:color w:val="5A5E55"/>
          <w:sz w:val="23"/>
        </w:rPr>
        <w:t>Genehmigte Antworten und Hinweise zur unmittelbaren Besprechung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CE8E6"/>
          <w:left w:val="single" w:sz="4" w:space="0" w:color="FCE8E6"/>
          <w:bottom w:val="single" w:sz="4" w:space="0" w:color="FCE8E6"/>
          <w:right w:val="single" w:sz="4" w:space="0" w:color="FCE8E6"/>
          <w:insideH w:val="single" w:sz="4" w:space="0" w:color="FCE8E6"/>
          <w:insideV w:val="single" w:sz="4" w:space="0" w:color="FCE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CE8E6"/>
          </w:tcPr>
          <w:p>
            <w:pPr>
              <w:spacing w:after="0"/>
              <w:ind w:left="0" w:right="0" w:firstLine="0"/>
            </w:pPr>
            <w:r>
              <w:rPr>
                <w:rFonts w:ascii="Calibri" w:hAnsi="Calibri"/>
                <w:b w:val="0"/>
                <w:color w:val="1F2A2A"/>
                <w:sz w:val="21"/>
              </w:rPr>
              <w:t>Trainerunterlage: Nicht mit Teilnehmerunterlagen ausgeben. Falsche Antworten unmittelbar besprechen; der Check ist keine formale Prüfung.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Calibri" w:hAnsi="Calibri"/>
          <w:b/>
          <w:color w:val="163F9E"/>
          <w:sz w:val="25"/>
        </w:rPr>
        <w:t>1. Warum kann eine sprachlich überzeugende KI-Antwort trotzdem falsch sein?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DE7DA"/>
          <w:left w:val="single" w:sz="4" w:space="0" w:color="EDE7DA"/>
          <w:bottom w:val="single" w:sz="4" w:space="0" w:color="EDE7DA"/>
          <w:right w:val="single" w:sz="4" w:space="0" w:color="EDE7DA"/>
          <w:insideH w:val="single" w:sz="4" w:space="0" w:color="EDE7DA"/>
          <w:insideV w:val="single" w:sz="4" w:space="0" w:color="EDE7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DE7DA"/>
          </w:tcPr>
          <w:p>
            <w:pPr>
              <w:spacing w:after="0"/>
              <w:ind w:left="0" w:right="0" w:firstLine="0"/>
            </w:pPr>
            <w:r>
              <w:rPr>
                <w:rFonts w:ascii="Calibri" w:hAnsi="Calibri"/>
                <w:b/>
                <w:color w:val="163F9E"/>
                <w:sz w:val="21"/>
              </w:rPr>
              <w:t xml:space="preserve">Musterantwort: </w:t>
            </w:r>
            <w:r>
              <w:rPr>
                <w:rFonts w:ascii="Calibri" w:hAnsi="Calibri"/>
                <w:b w:val="0"/>
                <w:color w:val="1F2A2A"/>
                <w:sz w:val="21"/>
              </w:rPr>
              <w:t>Generative KI erzeugt sprachlich wahrscheinliche Ausgaben und prüft nicht automatisch, ob jede Aussage wahr, aktuell oder vollständig ist.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6F2EA"/>
          <w:left w:val="single" w:sz="4" w:space="0" w:color="F6F2EA"/>
          <w:bottom w:val="single" w:sz="4" w:space="0" w:color="F6F2EA"/>
          <w:right w:val="single" w:sz="4" w:space="0" w:color="F6F2EA"/>
          <w:insideH w:val="single" w:sz="4" w:space="0" w:color="F6F2EA"/>
          <w:insideV w:val="single" w:sz="4" w:space="0" w:color="F6F2E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2EA"/>
          </w:tcPr>
          <w:p>
            <w:pPr>
              <w:spacing w:after="0"/>
              <w:ind w:left="0" w:right="0" w:firstLine="0"/>
            </w:pPr>
            <w:r>
              <w:rPr>
                <w:rFonts w:ascii="Calibri" w:hAnsi="Calibri"/>
                <w:b/>
                <w:color w:val="163F9E"/>
                <w:sz w:val="21"/>
              </w:rPr>
              <w:t xml:space="preserve">Korrekturhinweis: </w:t>
            </w:r>
            <w:r>
              <w:rPr>
                <w:rFonts w:ascii="Calibri" w:hAnsi="Calibri"/>
                <w:b w:val="0"/>
                <w:color w:val="1F2A2A"/>
                <w:sz w:val="21"/>
              </w:rPr>
              <w:t>Nicht „die KI weiß es“, sondern Wahrscheinlichkeitsausgabe ohne automatische Wahrheitsprüfung erklären.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Calibri" w:hAnsi="Calibri"/>
          <w:b/>
          <w:color w:val="163F9E"/>
          <w:sz w:val="25"/>
        </w:rPr>
        <w:t>2. Welche sechs Bestandteile hat ein guter Prompt in dieser Schulung?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DE7DA"/>
          <w:left w:val="single" w:sz="4" w:space="0" w:color="EDE7DA"/>
          <w:bottom w:val="single" w:sz="4" w:space="0" w:color="EDE7DA"/>
          <w:right w:val="single" w:sz="4" w:space="0" w:color="EDE7DA"/>
          <w:insideH w:val="single" w:sz="4" w:space="0" w:color="EDE7DA"/>
          <w:insideV w:val="single" w:sz="4" w:space="0" w:color="EDE7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DE7DA"/>
          </w:tcPr>
          <w:p>
            <w:pPr>
              <w:spacing w:after="0"/>
              <w:ind w:left="0" w:right="0" w:firstLine="0"/>
            </w:pPr>
            <w:r>
              <w:rPr>
                <w:rFonts w:ascii="Calibri" w:hAnsi="Calibri"/>
                <w:b/>
                <w:color w:val="163F9E"/>
                <w:sz w:val="21"/>
              </w:rPr>
              <w:t xml:space="preserve">Musterantwort: </w:t>
            </w:r>
            <w:r>
              <w:rPr>
                <w:rFonts w:ascii="Calibri" w:hAnsi="Calibri"/>
                <w:b w:val="0"/>
                <w:color w:val="1F2A2A"/>
                <w:sz w:val="21"/>
              </w:rPr>
              <w:t>Aufgabe, Kontext, Material, Anforderungen, Ausgabeformat und Prüfkriterien.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6F2EA"/>
          <w:left w:val="single" w:sz="4" w:space="0" w:color="F6F2EA"/>
          <w:bottom w:val="single" w:sz="4" w:space="0" w:color="F6F2EA"/>
          <w:right w:val="single" w:sz="4" w:space="0" w:color="F6F2EA"/>
          <w:insideH w:val="single" w:sz="4" w:space="0" w:color="F6F2EA"/>
          <w:insideV w:val="single" w:sz="4" w:space="0" w:color="F6F2E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2EA"/>
          </w:tcPr>
          <w:p>
            <w:pPr>
              <w:spacing w:after="0"/>
              <w:ind w:left="0" w:right="0" w:firstLine="0"/>
            </w:pPr>
            <w:r>
              <w:rPr>
                <w:rFonts w:ascii="Calibri" w:hAnsi="Calibri"/>
                <w:b/>
                <w:color w:val="163F9E"/>
                <w:sz w:val="21"/>
              </w:rPr>
              <w:t xml:space="preserve">Korrekturhinweis: </w:t>
            </w:r>
            <w:r>
              <w:rPr>
                <w:rFonts w:ascii="Calibri" w:hAnsi="Calibri"/>
                <w:b w:val="0"/>
                <w:color w:val="1F2A2A"/>
                <w:sz w:val="21"/>
              </w:rPr>
              <w:t>Alle sechs Bausteine nennen; Anforderungen und Prüfkriterien nicht miteinander vermischen.</w:t>
            </w:r>
          </w:p>
        </w:tc>
      </w:tr>
    </w:tbl>
    <w:p>
      <w:pPr>
        <w:spacing w:after="40"/>
      </w:pPr>
    </w:p>
    <w:p>
      <w:pPr>
        <w:spacing w:before="0" w:after="0"/>
      </w:pPr>
      <w:r>
        <w:br w:type="page"/>
      </w:r>
    </w:p>
    <w:p>
      <w:pPr>
        <w:spacing w:before="240" w:after="160"/>
      </w:pPr>
      <w:r>
        <w:rPr>
          <w:rFonts w:ascii="Calibri" w:hAnsi="Calibri"/>
          <w:b/>
          <w:color w:val="1F4FC9"/>
          <w:sz w:val="28"/>
        </w:rPr>
        <w:t>LÖSUNGSSCHLÜSSEL · FRAGEN 3–4</w:t>
      </w:r>
    </w:p>
    <w:p>
      <w:pPr>
        <w:pStyle w:val="Heading2"/>
        <w:spacing w:before="160" w:after="80"/>
      </w:pPr>
      <w:r>
        <w:rPr>
          <w:rFonts w:ascii="Calibri" w:hAnsi="Calibri"/>
          <w:b/>
          <w:color w:val="163F9E"/>
          <w:sz w:val="25"/>
        </w:rPr>
        <w:t>3. Nennen Sie zwei typische Risiken generativer KI.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DE7DA"/>
          <w:left w:val="single" w:sz="4" w:space="0" w:color="EDE7DA"/>
          <w:bottom w:val="single" w:sz="4" w:space="0" w:color="EDE7DA"/>
          <w:right w:val="single" w:sz="4" w:space="0" w:color="EDE7DA"/>
          <w:insideH w:val="single" w:sz="4" w:space="0" w:color="EDE7DA"/>
          <w:insideV w:val="single" w:sz="4" w:space="0" w:color="EDE7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DE7DA"/>
          </w:tcPr>
          <w:p>
            <w:pPr>
              <w:spacing w:after="0"/>
              <w:ind w:left="0" w:right="0" w:firstLine="0"/>
            </w:pPr>
            <w:r>
              <w:rPr>
                <w:rFonts w:ascii="Calibri" w:hAnsi="Calibri"/>
                <w:b/>
                <w:color w:val="163F9E"/>
                <w:sz w:val="21"/>
              </w:rPr>
              <w:t xml:space="preserve">Musterantwort: </w:t>
            </w:r>
            <w:r>
              <w:rPr>
                <w:rFonts w:ascii="Calibri" w:hAnsi="Calibri"/>
                <w:b w:val="0"/>
                <w:color w:val="1F2A2A"/>
                <w:sz w:val="21"/>
              </w:rPr>
              <w:t>Zwei passende Beispiele aus: erfundene Fakten, veraltete Informationen, falsche Quellen, Verzerrungen, Datenabfluss, Rechteprobleme oder unangemessene Ausgaben.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6F2EA"/>
          <w:left w:val="single" w:sz="4" w:space="0" w:color="F6F2EA"/>
          <w:bottom w:val="single" w:sz="4" w:space="0" w:color="F6F2EA"/>
          <w:right w:val="single" w:sz="4" w:space="0" w:color="F6F2EA"/>
          <w:insideH w:val="single" w:sz="4" w:space="0" w:color="F6F2EA"/>
          <w:insideV w:val="single" w:sz="4" w:space="0" w:color="F6F2E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2EA"/>
          </w:tcPr>
          <w:p>
            <w:pPr>
              <w:spacing w:after="0"/>
              <w:ind w:left="0" w:right="0" w:firstLine="0"/>
            </w:pPr>
            <w:r>
              <w:rPr>
                <w:rFonts w:ascii="Calibri" w:hAnsi="Calibri"/>
                <w:b/>
                <w:color w:val="163F9E"/>
                <w:sz w:val="21"/>
              </w:rPr>
              <w:t xml:space="preserve">Korrekturhinweis: </w:t>
            </w:r>
            <w:r>
              <w:rPr>
                <w:rFonts w:ascii="Calibri" w:hAnsi="Calibri"/>
                <w:b w:val="0"/>
                <w:color w:val="1F2A2A"/>
                <w:sz w:val="21"/>
              </w:rPr>
              <w:t>Zwei konkrete Risiken genügen; pauschale Aussagen wie „KI ist gefährlich“ gemeinsam präzisieren.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Calibri" w:hAnsi="Calibri"/>
          <w:b/>
          <w:color w:val="163F9E"/>
          <w:sz w:val="25"/>
        </w:rPr>
        <w:t>4. Welche Informationen gehören im Basistraining in die rote Ampelzone?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DE7DA"/>
          <w:left w:val="single" w:sz="4" w:space="0" w:color="EDE7DA"/>
          <w:bottom w:val="single" w:sz="4" w:space="0" w:color="EDE7DA"/>
          <w:right w:val="single" w:sz="4" w:space="0" w:color="EDE7DA"/>
          <w:insideH w:val="single" w:sz="4" w:space="0" w:color="EDE7DA"/>
          <w:insideV w:val="single" w:sz="4" w:space="0" w:color="EDE7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DE7DA"/>
          </w:tcPr>
          <w:p>
            <w:pPr>
              <w:spacing w:after="0"/>
              <w:ind w:left="0" w:right="0" w:firstLine="0"/>
            </w:pPr>
            <w:r>
              <w:rPr>
                <w:rFonts w:ascii="Calibri" w:hAnsi="Calibri"/>
                <w:b/>
                <w:color w:val="163F9E"/>
                <w:sz w:val="21"/>
              </w:rPr>
              <w:t xml:space="preserve">Musterantwort: </w:t>
            </w:r>
            <w:r>
              <w:rPr>
                <w:rFonts w:ascii="Calibri" w:hAnsi="Calibri"/>
                <w:b w:val="0"/>
                <w:color w:val="1F2A2A"/>
                <w:sz w:val="21"/>
              </w:rPr>
              <w:t>Insbesondere Zugangsdaten, Geschäftsgeheimnisse, Beschäftigten-, Bewerber-, Kunden-, Patienten-, Gesundheits- und andere besonders sensible Daten sowie sicherheitskritische Informationen.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6F2EA"/>
          <w:left w:val="single" w:sz="4" w:space="0" w:color="F6F2EA"/>
          <w:bottom w:val="single" w:sz="4" w:space="0" w:color="F6F2EA"/>
          <w:right w:val="single" w:sz="4" w:space="0" w:color="F6F2EA"/>
          <w:insideH w:val="single" w:sz="4" w:space="0" w:color="F6F2EA"/>
          <w:insideV w:val="single" w:sz="4" w:space="0" w:color="F6F2E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2EA"/>
          </w:tcPr>
          <w:p>
            <w:pPr>
              <w:spacing w:after="0"/>
              <w:ind w:left="0" w:right="0" w:firstLine="0"/>
            </w:pPr>
            <w:r>
              <w:rPr>
                <w:rFonts w:ascii="Calibri" w:hAnsi="Calibri"/>
                <w:b/>
                <w:color w:val="163F9E"/>
                <w:sz w:val="21"/>
              </w:rPr>
              <w:t xml:space="preserve">Korrekturhinweis: </w:t>
            </w:r>
            <w:r>
              <w:rPr>
                <w:rFonts w:ascii="Calibri" w:hAnsi="Calibri"/>
                <w:b w:val="0"/>
                <w:color w:val="1F2A2A"/>
                <w:sz w:val="21"/>
              </w:rPr>
              <w:t>Rote Daten nicht mit gelben internen Informationen verwechseln und keine spontane Anonymisierung als automatische Freigabe behandeln.</w:t>
            </w:r>
          </w:p>
        </w:tc>
      </w:tr>
    </w:tbl>
    <w:p>
      <w:pPr>
        <w:spacing w:after="40"/>
      </w:pPr>
    </w:p>
    <w:p>
      <w:pPr>
        <w:spacing w:before="0" w:after="0"/>
      </w:pPr>
      <w:r>
        <w:br w:type="page"/>
      </w:r>
    </w:p>
    <w:p>
      <w:pPr>
        <w:spacing w:before="240" w:after="160"/>
      </w:pPr>
      <w:r>
        <w:rPr>
          <w:rFonts w:ascii="Calibri" w:hAnsi="Calibri"/>
          <w:b/>
          <w:color w:val="1F4FC9"/>
          <w:sz w:val="28"/>
        </w:rPr>
        <w:t>LÖSUNGSSCHLÜSSEL · FRAGEN 5–6</w:t>
      </w:r>
    </w:p>
    <w:p>
      <w:pPr>
        <w:pStyle w:val="Heading2"/>
        <w:spacing w:before="160" w:after="80"/>
      </w:pPr>
      <w:r>
        <w:rPr>
          <w:rFonts w:ascii="Calibri" w:hAnsi="Calibri"/>
          <w:b/>
          <w:color w:val="163F9E"/>
          <w:sz w:val="25"/>
        </w:rPr>
        <w:t>5. Was bedeutet die gelbe Ampelzone?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DE7DA"/>
          <w:left w:val="single" w:sz="4" w:space="0" w:color="EDE7DA"/>
          <w:bottom w:val="single" w:sz="4" w:space="0" w:color="EDE7DA"/>
          <w:right w:val="single" w:sz="4" w:space="0" w:color="EDE7DA"/>
          <w:insideH w:val="single" w:sz="4" w:space="0" w:color="EDE7DA"/>
          <w:insideV w:val="single" w:sz="4" w:space="0" w:color="EDE7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DE7DA"/>
          </w:tcPr>
          <w:p>
            <w:pPr>
              <w:spacing w:after="0"/>
              <w:ind w:left="0" w:right="0" w:firstLine="0"/>
            </w:pPr>
            <w:r>
              <w:rPr>
                <w:rFonts w:ascii="Calibri" w:hAnsi="Calibri"/>
                <w:b/>
                <w:color w:val="163F9E"/>
                <w:sz w:val="21"/>
              </w:rPr>
              <w:t xml:space="preserve">Musterantwort: </w:t>
            </w:r>
            <w:r>
              <w:rPr>
                <w:rFonts w:ascii="Calibri" w:hAnsi="Calibri"/>
                <w:b w:val="0"/>
                <w:color w:val="1F2A2A"/>
                <w:sz w:val="21"/>
              </w:rPr>
              <w:t>Nicht eingeben, sondern Werkzeug, Zweck, Daten und interne Freigabe zuerst mit der zuständigen Stelle klären.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6F2EA"/>
          <w:left w:val="single" w:sz="4" w:space="0" w:color="F6F2EA"/>
          <w:bottom w:val="single" w:sz="4" w:space="0" w:color="F6F2EA"/>
          <w:right w:val="single" w:sz="4" w:space="0" w:color="F6F2EA"/>
          <w:insideH w:val="single" w:sz="4" w:space="0" w:color="F6F2EA"/>
          <w:insideV w:val="single" w:sz="4" w:space="0" w:color="F6F2E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2EA"/>
          </w:tcPr>
          <w:p>
            <w:pPr>
              <w:spacing w:after="0"/>
              <w:ind w:left="0" w:right="0" w:firstLine="0"/>
            </w:pPr>
            <w:r>
              <w:rPr>
                <w:rFonts w:ascii="Calibri" w:hAnsi="Calibri"/>
                <w:b/>
                <w:color w:val="163F9E"/>
                <w:sz w:val="21"/>
              </w:rPr>
              <w:t xml:space="preserve">Korrekturhinweis: </w:t>
            </w:r>
            <w:r>
              <w:rPr>
                <w:rFonts w:ascii="Calibri" w:hAnsi="Calibri"/>
                <w:b w:val="0"/>
                <w:color w:val="1F2A2A"/>
                <w:sz w:val="21"/>
              </w:rPr>
              <w:t>Gelb bedeutet stoppen und klären, nicht „vorsichtig“ oder mit weniger Details eingeben.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Calibri" w:hAnsi="Calibri"/>
          <w:b/>
          <w:color w:val="163F9E"/>
          <w:sz w:val="25"/>
        </w:rPr>
        <w:t>6. Wer trägt die Verantwortung für die Verwendung einer KI-Ausgabe?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DE7DA"/>
          <w:left w:val="single" w:sz="4" w:space="0" w:color="EDE7DA"/>
          <w:bottom w:val="single" w:sz="4" w:space="0" w:color="EDE7DA"/>
          <w:right w:val="single" w:sz="4" w:space="0" w:color="EDE7DA"/>
          <w:insideH w:val="single" w:sz="4" w:space="0" w:color="EDE7DA"/>
          <w:insideV w:val="single" w:sz="4" w:space="0" w:color="EDE7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DE7DA"/>
          </w:tcPr>
          <w:p>
            <w:pPr>
              <w:spacing w:after="0"/>
              <w:ind w:left="0" w:right="0" w:firstLine="0"/>
            </w:pPr>
            <w:r>
              <w:rPr>
                <w:rFonts w:ascii="Calibri" w:hAnsi="Calibri"/>
                <w:b/>
                <w:color w:val="163F9E"/>
                <w:sz w:val="21"/>
              </w:rPr>
              <w:t xml:space="preserve">Musterantwort: </w:t>
            </w:r>
            <w:r>
              <w:rPr>
                <w:rFonts w:ascii="Calibri" w:hAnsi="Calibri"/>
                <w:b w:val="0"/>
                <w:color w:val="1F2A2A"/>
                <w:sz w:val="21"/>
              </w:rPr>
              <w:t>Der verantwortliche Mensch beziehungsweise die vom Unternehmen festgelegte freigabeberechtigte Stelle.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6F2EA"/>
          <w:left w:val="single" w:sz="4" w:space="0" w:color="F6F2EA"/>
          <w:bottom w:val="single" w:sz="4" w:space="0" w:color="F6F2EA"/>
          <w:right w:val="single" w:sz="4" w:space="0" w:color="F6F2EA"/>
          <w:insideH w:val="single" w:sz="4" w:space="0" w:color="F6F2EA"/>
          <w:insideV w:val="single" w:sz="4" w:space="0" w:color="F6F2E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2EA"/>
          </w:tcPr>
          <w:p>
            <w:pPr>
              <w:spacing w:after="0"/>
              <w:ind w:left="0" w:right="0" w:firstLine="0"/>
            </w:pPr>
            <w:r>
              <w:rPr>
                <w:rFonts w:ascii="Calibri" w:hAnsi="Calibri"/>
                <w:b/>
                <w:color w:val="163F9E"/>
                <w:sz w:val="21"/>
              </w:rPr>
              <w:t xml:space="preserve">Korrekturhinweis: </w:t>
            </w:r>
            <w:r>
              <w:rPr>
                <w:rFonts w:ascii="Calibri" w:hAnsi="Calibri"/>
                <w:b w:val="0"/>
                <w:color w:val="1F2A2A"/>
                <w:sz w:val="21"/>
              </w:rPr>
              <w:t>Weder das Modell noch der Toolanbieter übernimmt den betrieblichen Prüf- und Freigabeweg.</w:t>
            </w:r>
          </w:p>
        </w:tc>
      </w:tr>
    </w:tbl>
    <w:p>
      <w:pPr>
        <w:spacing w:after="40"/>
      </w:pPr>
    </w:p>
    <w:p>
      <w:pPr>
        <w:spacing w:before="0" w:after="0"/>
      </w:pPr>
      <w:r>
        <w:br w:type="page"/>
      </w:r>
    </w:p>
    <w:p>
      <w:pPr>
        <w:spacing w:before="240" w:after="160"/>
      </w:pPr>
      <w:r>
        <w:rPr>
          <w:rFonts w:ascii="Calibri" w:hAnsi="Calibri"/>
          <w:b/>
          <w:color w:val="1F4FC9"/>
          <w:sz w:val="28"/>
        </w:rPr>
        <w:t>LÖSUNGSSCHLÜSSEL · FRAGEN 7–8</w:t>
      </w:r>
    </w:p>
    <w:p>
      <w:pPr>
        <w:pStyle w:val="Heading2"/>
        <w:spacing w:before="160" w:after="80"/>
      </w:pPr>
      <w:r>
        <w:rPr>
          <w:rFonts w:ascii="Calibri" w:hAnsi="Calibri"/>
          <w:b/>
          <w:color w:val="163F9E"/>
          <w:sz w:val="25"/>
        </w:rPr>
        <w:t>7. Welche Punkte prüfen Sie bei Zahlen und Quellen?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DE7DA"/>
          <w:left w:val="single" w:sz="4" w:space="0" w:color="EDE7DA"/>
          <w:bottom w:val="single" w:sz="4" w:space="0" w:color="EDE7DA"/>
          <w:right w:val="single" w:sz="4" w:space="0" w:color="EDE7DA"/>
          <w:insideH w:val="single" w:sz="4" w:space="0" w:color="EDE7DA"/>
          <w:insideV w:val="single" w:sz="4" w:space="0" w:color="EDE7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DE7DA"/>
          </w:tcPr>
          <w:p>
            <w:pPr>
              <w:spacing w:after="0"/>
              <w:ind w:left="0" w:right="0" w:firstLine="0"/>
            </w:pPr>
            <w:r>
              <w:rPr>
                <w:rFonts w:ascii="Calibri" w:hAnsi="Calibri"/>
                <w:b/>
                <w:color w:val="163F9E"/>
                <w:sz w:val="21"/>
              </w:rPr>
              <w:t xml:space="preserve">Musterantwort: </w:t>
            </w:r>
            <w:r>
              <w:rPr>
                <w:rFonts w:ascii="Calibri" w:hAnsi="Calibri"/>
                <w:b w:val="0"/>
                <w:color w:val="1F2A2A"/>
                <w:sz w:val="21"/>
              </w:rPr>
              <w:t>Zahlen mit einer belastbaren Originalquelle abgleichen; Quelle auf Existenz, Aussage, Aktualität und Kontext prüfen.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6F2EA"/>
          <w:left w:val="single" w:sz="4" w:space="0" w:color="F6F2EA"/>
          <w:bottom w:val="single" w:sz="4" w:space="0" w:color="F6F2EA"/>
          <w:right w:val="single" w:sz="4" w:space="0" w:color="F6F2EA"/>
          <w:insideH w:val="single" w:sz="4" w:space="0" w:color="F6F2EA"/>
          <w:insideV w:val="single" w:sz="4" w:space="0" w:color="F6F2E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2EA"/>
          </w:tcPr>
          <w:p>
            <w:pPr>
              <w:spacing w:after="0"/>
              <w:ind w:left="0" w:right="0" w:firstLine="0"/>
            </w:pPr>
            <w:r>
              <w:rPr>
                <w:rFonts w:ascii="Calibri" w:hAnsi="Calibri"/>
                <w:b/>
                <w:color w:val="163F9E"/>
                <w:sz w:val="21"/>
              </w:rPr>
              <w:t xml:space="preserve">Korrekturhinweis: </w:t>
            </w:r>
            <w:r>
              <w:rPr>
                <w:rFonts w:ascii="Calibri" w:hAnsi="Calibri"/>
                <w:b w:val="0"/>
                <w:color w:val="1F2A2A"/>
                <w:sz w:val="21"/>
              </w:rPr>
              <w:t>Ein plausibler Link genügt nicht; Quelle öffnen und prüfen, ob sie die konkrete Aussage tatsächlich trägt.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Calibri" w:hAnsi="Calibri"/>
          <w:b/>
          <w:color w:val="163F9E"/>
          <w:sz w:val="25"/>
        </w:rPr>
        <w:t>8. Was tun Sie, wenn ein Ergebnis eine Person erheblich betreffen könnte?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DE7DA"/>
          <w:left w:val="single" w:sz="4" w:space="0" w:color="EDE7DA"/>
          <w:bottom w:val="single" w:sz="4" w:space="0" w:color="EDE7DA"/>
          <w:right w:val="single" w:sz="4" w:space="0" w:color="EDE7DA"/>
          <w:insideH w:val="single" w:sz="4" w:space="0" w:color="EDE7DA"/>
          <w:insideV w:val="single" w:sz="4" w:space="0" w:color="EDE7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DE7DA"/>
          </w:tcPr>
          <w:p>
            <w:pPr>
              <w:spacing w:after="0"/>
              <w:ind w:left="0" w:right="0" w:firstLine="0"/>
            </w:pPr>
            <w:r>
              <w:rPr>
                <w:rFonts w:ascii="Calibri" w:hAnsi="Calibri"/>
                <w:b/>
                <w:color w:val="163F9E"/>
                <w:sz w:val="21"/>
              </w:rPr>
              <w:t xml:space="preserve">Musterantwort: </w:t>
            </w:r>
            <w:r>
              <w:rPr>
                <w:rFonts w:ascii="Calibri" w:hAnsi="Calibri"/>
                <w:b w:val="0"/>
                <w:color w:val="1F2A2A"/>
                <w:sz w:val="21"/>
              </w:rPr>
              <w:t>Einsatz stoppen, nicht automatisch entscheiden lassen und den Fall an die zuständige Fach-, Rechts-, Datenschutz- oder Sicherheitsstelle geben.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6F2EA"/>
          <w:left w:val="single" w:sz="4" w:space="0" w:color="F6F2EA"/>
          <w:bottom w:val="single" w:sz="4" w:space="0" w:color="F6F2EA"/>
          <w:right w:val="single" w:sz="4" w:space="0" w:color="F6F2EA"/>
          <w:insideH w:val="single" w:sz="4" w:space="0" w:color="F6F2EA"/>
          <w:insideV w:val="single" w:sz="4" w:space="0" w:color="F6F2E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2EA"/>
          </w:tcPr>
          <w:p>
            <w:pPr>
              <w:spacing w:after="0"/>
              <w:ind w:left="0" w:right="0" w:firstLine="0"/>
            </w:pPr>
            <w:r>
              <w:rPr>
                <w:rFonts w:ascii="Calibri" w:hAnsi="Calibri"/>
                <w:b/>
                <w:color w:val="163F9E"/>
                <w:sz w:val="21"/>
              </w:rPr>
              <w:t xml:space="preserve">Korrekturhinweis: </w:t>
            </w:r>
            <w:r>
              <w:rPr>
                <w:rFonts w:ascii="Calibri" w:hAnsi="Calibri"/>
                <w:b w:val="0"/>
                <w:color w:val="1F2A2A"/>
                <w:sz w:val="21"/>
              </w:rPr>
              <w:t>Ein allgemeiner Hinweis auf „menschliche Kontrolle“ reicht ohne Stopp und zuständigen Eskalationsweg nicht aus.</w:t>
            </w:r>
          </w:p>
        </w:tc>
      </w:tr>
    </w:tbl>
    <w:p>
      <w:pPr>
        <w:spacing w:after="40"/>
      </w:pPr>
    </w:p>
    <w:p>
      <w:pPr>
        <w:spacing w:before="0" w:after="0"/>
      </w:pPr>
      <w:r>
        <w:br w:type="page"/>
      </w:r>
    </w:p>
    <w:p>
      <w:pPr>
        <w:spacing w:before="240" w:after="160"/>
      </w:pPr>
      <w:r>
        <w:rPr>
          <w:rFonts w:ascii="Calibri" w:hAnsi="Calibri"/>
          <w:b/>
          <w:color w:val="1F4FC9"/>
          <w:sz w:val="28"/>
        </w:rPr>
        <w:t>LÖSUNGSSCHLÜSSEL · FRAGEN 9–10</w:t>
      </w:r>
    </w:p>
    <w:p>
      <w:pPr>
        <w:pStyle w:val="Heading2"/>
        <w:spacing w:before="160" w:after="80"/>
      </w:pPr>
      <w:r>
        <w:rPr>
          <w:rFonts w:ascii="Calibri" w:hAnsi="Calibri"/>
          <w:b/>
          <w:color w:val="163F9E"/>
          <w:sz w:val="25"/>
        </w:rPr>
        <w:t>9. Warum reicht ein privater kostenloser Toolzugang nicht automatisch für Unternehmensdaten?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DE7DA"/>
          <w:left w:val="single" w:sz="4" w:space="0" w:color="EDE7DA"/>
          <w:bottom w:val="single" w:sz="4" w:space="0" w:color="EDE7DA"/>
          <w:right w:val="single" w:sz="4" w:space="0" w:color="EDE7DA"/>
          <w:insideH w:val="single" w:sz="4" w:space="0" w:color="EDE7DA"/>
          <w:insideV w:val="single" w:sz="4" w:space="0" w:color="EDE7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DE7DA"/>
          </w:tcPr>
          <w:p>
            <w:pPr>
              <w:spacing w:after="0"/>
              <w:ind w:left="0" w:right="0" w:firstLine="0"/>
            </w:pPr>
            <w:r>
              <w:rPr>
                <w:rFonts w:ascii="Calibri" w:hAnsi="Calibri"/>
                <w:b/>
                <w:color w:val="163F9E"/>
                <w:sz w:val="21"/>
              </w:rPr>
              <w:t xml:space="preserve">Musterantwort: </w:t>
            </w:r>
            <w:r>
              <w:rPr>
                <w:rFonts w:ascii="Calibri" w:hAnsi="Calibri"/>
                <w:b w:val="0"/>
                <w:color w:val="1F2A2A"/>
                <w:sz w:val="21"/>
              </w:rPr>
              <w:t>Weil Vertrag, Kontotyp, Einstellungen, Datenverwendung, Speicherort, Zugriffe und Unternehmensfreigabe entscheidend sind.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6F2EA"/>
          <w:left w:val="single" w:sz="4" w:space="0" w:color="F6F2EA"/>
          <w:bottom w:val="single" w:sz="4" w:space="0" w:color="F6F2EA"/>
          <w:right w:val="single" w:sz="4" w:space="0" w:color="F6F2EA"/>
          <w:insideH w:val="single" w:sz="4" w:space="0" w:color="F6F2EA"/>
          <w:insideV w:val="single" w:sz="4" w:space="0" w:color="F6F2E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2EA"/>
          </w:tcPr>
          <w:p>
            <w:pPr>
              <w:spacing w:after="0"/>
              <w:ind w:left="0" w:right="0" w:firstLine="0"/>
            </w:pPr>
            <w:r>
              <w:rPr>
                <w:rFonts w:ascii="Calibri" w:hAnsi="Calibri"/>
                <w:b/>
                <w:color w:val="163F9E"/>
                <w:sz w:val="21"/>
              </w:rPr>
              <w:t xml:space="preserve">Korrekturhinweis: </w:t>
            </w:r>
            <w:r>
              <w:rPr>
                <w:rFonts w:ascii="Calibri" w:hAnsi="Calibri"/>
                <w:b w:val="0"/>
                <w:color w:val="1F2A2A"/>
                <w:sz w:val="21"/>
              </w:rPr>
              <w:t>Nicht allein Preis oder Bekanntheit des Tools bewerten; die konkrete betriebliche Konfiguration und Freigabe zählen.</w:t>
            </w:r>
          </w:p>
        </w:tc>
      </w:tr>
    </w:tbl>
    <w:p>
      <w:pPr>
        <w:spacing w:after="40"/>
      </w:pPr>
    </w:p>
    <w:p>
      <w:pPr>
        <w:pStyle w:val="Heading2"/>
        <w:spacing w:before="160" w:after="80"/>
      </w:pPr>
      <w:r>
        <w:rPr>
          <w:rFonts w:ascii="Calibri" w:hAnsi="Calibri"/>
          <w:b/>
          <w:color w:val="163F9E"/>
          <w:sz w:val="25"/>
        </w:rPr>
        <w:t>10. An wen eskalieren Sie im Unternehmen einen unklaren Fall?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DE7DA"/>
          <w:left w:val="single" w:sz="4" w:space="0" w:color="EDE7DA"/>
          <w:bottom w:val="single" w:sz="4" w:space="0" w:color="EDE7DA"/>
          <w:right w:val="single" w:sz="4" w:space="0" w:color="EDE7DA"/>
          <w:insideH w:val="single" w:sz="4" w:space="0" w:color="EDE7DA"/>
          <w:insideV w:val="single" w:sz="4" w:space="0" w:color="EDE7D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EDE7DA"/>
          </w:tcPr>
          <w:p>
            <w:pPr>
              <w:spacing w:after="0"/>
              <w:ind w:left="0" w:right="0" w:firstLine="0"/>
            </w:pPr>
            <w:r>
              <w:rPr>
                <w:rFonts w:ascii="Calibri" w:hAnsi="Calibri"/>
                <w:b/>
                <w:color w:val="163F9E"/>
                <w:sz w:val="21"/>
              </w:rPr>
              <w:t xml:space="preserve">Musterantwort: </w:t>
            </w:r>
            <w:r>
              <w:rPr>
                <w:rFonts w:ascii="Calibri" w:hAnsi="Calibri"/>
                <w:b w:val="0"/>
                <w:color w:val="1F2A2A"/>
                <w:sz w:val="21"/>
              </w:rPr>
              <w:t>Die im Management-Vorgespräch benannte interne Stelle; ohne benannte Stelle wird der Fall an die verantwortliche Führungskraft zurückgegeben.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6F2EA"/>
          <w:left w:val="single" w:sz="4" w:space="0" w:color="F6F2EA"/>
          <w:bottom w:val="single" w:sz="4" w:space="0" w:color="F6F2EA"/>
          <w:right w:val="single" w:sz="4" w:space="0" w:color="F6F2EA"/>
          <w:insideH w:val="single" w:sz="4" w:space="0" w:color="F6F2EA"/>
          <w:insideV w:val="single" w:sz="4" w:space="0" w:color="F6F2E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6F2EA"/>
          </w:tcPr>
          <w:p>
            <w:pPr>
              <w:spacing w:after="0"/>
              <w:ind w:left="0" w:right="0" w:firstLine="0"/>
            </w:pPr>
            <w:r>
              <w:rPr>
                <w:rFonts w:ascii="Calibri" w:hAnsi="Calibri"/>
                <w:b/>
                <w:color w:val="163F9E"/>
                <w:sz w:val="21"/>
              </w:rPr>
              <w:t xml:space="preserve">Korrekturhinweis: </w:t>
            </w:r>
            <w:r>
              <w:rPr>
                <w:rFonts w:ascii="Calibri" w:hAnsi="Calibri"/>
                <w:b w:val="0"/>
                <w:color w:val="1F2A2A"/>
                <w:sz w:val="21"/>
              </w:rPr>
              <w:t>Keine Zuständigkeit erfinden; den vorbereiteten internen Kontakt nutzen oder an die verantwortliche Führungskraft zurückgeben.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A5E55"/>
        <w:sz w:val="17"/>
      </w:rPr>
      <w:t xml:space="preserve">MyHiwi AI-Startklar  ·  Version 1.0  ·  Stand 22. Juli 2026  ·  </w:t>
    </w:r>
    <w:r>
      <w:rPr>
        <w:rFonts w:ascii="Calibri" w:hAnsi="Calibri"/>
        <w:color w:val="5A5E5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A5E55"/>
        <w:sz w:val="16"/>
      </w:rPr>
      <w:t xml:space="preserve">MYHIWI  /  AI-STARTKLAR  /  LÖSUNGSSCHLÜSSEL  /  </w:t>
    </w:r>
    <w:r>
      <w:rPr>
        <w:rFonts w:ascii="Calibri" w:hAnsi="Calibri"/>
        <w:b/>
        <w:color w:val="163F9E"/>
        <w:sz w:val="16"/>
      </w:rPr>
      <w:t>Nur für Trainer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A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FC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FC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63F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2A2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HCompact">
    <w:name w:val="MH Compact"/>
    <w:pPr>
      <w:spacing w:before="0" w:after="60" w:line="259" w:lineRule="auto"/>
    </w:pPr>
    <w:rPr>
      <w:rFonts w:ascii="Calibri" w:hAnsi="Calibri"/>
      <w:color w:val="1F2A2A"/>
      <w:sz w:val="20"/>
    </w:rPr>
  </w:style>
  <w:style w:type="paragraph" w:customStyle="1" w:styleId="MHChecklist">
    <w:name w:val="MH Checklist"/>
    <w:pPr>
      <w:spacing w:before="0" w:after="60" w:line="259" w:lineRule="auto"/>
    </w:pPr>
    <w:rPr>
      <w:rFonts w:ascii="Calibri" w:hAnsi="Calibri"/>
      <w:color w:val="1F2A2A"/>
      <w:sz w:val="19"/>
    </w:rPr>
  </w:style>
  <w:style w:type="paragraph" w:customStyle="1" w:styleId="MHZone">
    <w:name w:val="MH Zone"/>
    <w:pPr>
      <w:spacing w:before="0" w:after="16" w:line="240" w:lineRule="auto"/>
    </w:pPr>
    <w:rPr>
      <w:rFonts w:ascii="Calibri" w:hAnsi="Calibri"/>
      <w:color w:val="1F2A2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MyHiwi AI-Startklar – Lösungsschlüssel</dc:title>
  <dc:subject>MyHiwi AI-Startklar</dc:subject>
  <dc:creator>MyHiwi</dc:creator>
  <cp:keywords>MyHiwi AI-Startklar; Version 1.0; Stand 22. Juli 2026</cp:keywords>
  <dc:description>Version 1.0; Stand 22. Juli 2026</dc:description>
  <cp:lastModifiedBy>MyHiwi</cp:lastModifiedBy>
  <cp:revision>1</cp:revision>
  <dcterms:created xsi:type="dcterms:W3CDTF">2026-07-22T00:00:00Z</dcterms:created>
  <dcterms:modified xsi:type="dcterms:W3CDTF">2026-07-22T00:00:00Z</dcterms:modified>
  <cp:category>Lösungsschlüssel</cp:category>
</cp:coreProperties>
</file>