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60"/>
      </w:pPr>
      <w:r>
        <w:rPr>
          <w:rFonts w:ascii="Calibri" w:hAnsi="Calibri"/>
          <w:b/>
          <w:color w:val="1F4FC9"/>
          <w:sz w:val="20"/>
        </w:rPr>
        <w:t>WORKSHOP-HANDBUCH</w:t>
      </w:r>
    </w:p>
    <w:p>
      <w:pPr>
        <w:pStyle w:val="Title"/>
        <w:spacing w:after="200"/>
      </w:pPr>
      <w:r>
        <w:t>Trainerleitfaden</w:t>
      </w:r>
    </w:p>
    <w:p>
      <w:pPr>
        <w:spacing w:after="560"/>
      </w:pPr>
      <w:r>
        <w:rPr>
          <w:rFonts w:ascii="Calibri" w:hAnsi="Calibri"/>
          <w:color w:val="5A5E55"/>
          <w:sz w:val="28"/>
        </w:rPr>
        <w:t>Minutengenaue Moderation für die dreistündige KI-Grundlagenschulung</w:t>
      </w:r>
    </w:p>
    <w:tbl>
      <w:tblPr>
        <w:tblW w:type="dxa" w:w="9360"/>
        <w:jc w:val="left"/>
        <w:tblLayout w:type="fixed"/>
        <w:tblLook w:firstColumn="1" w:firstRow="1" w:lastColumn="0" w:lastRow="0" w:noHBand="0" w:noVBand="1" w:val="04A0"/>
        <w:tblInd w:w="120" w:type="dxa"/>
        <w:tblBorders>
          <w:top w:val="single" w:sz="6" w:space="0" w:color="EDE7DA"/>
          <w:left w:val="single" w:sz="6" w:space="0" w:color="EDE7DA"/>
          <w:bottom w:val="single" w:sz="6" w:space="0" w:color="EDE7DA"/>
          <w:right w:val="single" w:sz="6" w:space="0" w:color="EDE7DA"/>
          <w:insideH w:val="single" w:sz="6" w:space="0" w:color="EDE7DA"/>
          <w:insideV w:val="single" w:sz="6" w:space="0" w:color="EDE7DA"/>
        </w:tblBorders>
      </w:tblPr>
      <w:tblGrid>
        <w:gridCol w:w="3120"/>
        <w:gridCol w:w="3120"/>
        <w:gridCol w:w="3120"/>
      </w:tblGrid>
      <w:tr>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180</w:t>
            </w:r>
          </w:p>
          <w:p>
            <w:pPr>
              <w:spacing w:after="0"/>
              <w:jc w:val="center"/>
            </w:pPr>
            <w:r>
              <w:rPr>
                <w:rFonts w:ascii="Calibri" w:hAnsi="Calibri"/>
                <w:b/>
                <w:color w:val="5A5E55"/>
                <w:sz w:val="17"/>
              </w:rPr>
              <w:t>Minuten</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40</w:t>
            </w:r>
          </w:p>
          <w:p>
            <w:pPr>
              <w:spacing w:after="0"/>
              <w:jc w:val="center"/>
            </w:pPr>
            <w:r>
              <w:rPr>
                <w:rFonts w:ascii="Calibri" w:hAnsi="Calibri"/>
                <w:b/>
                <w:color w:val="5A5E55"/>
                <w:sz w:val="17"/>
              </w:rPr>
              <w:t>Folien</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max. 15</w:t>
            </w:r>
          </w:p>
          <w:p>
            <w:pPr>
              <w:spacing w:after="0"/>
              <w:jc w:val="center"/>
            </w:pPr>
            <w:r>
              <w:rPr>
                <w:rFonts w:ascii="Calibri" w:hAnsi="Calibri"/>
                <w:b/>
                <w:color w:val="5A5E55"/>
                <w:sz w:val="17"/>
              </w:rPr>
              <w:t>Teilnehmende</w:t>
            </w:r>
          </w:p>
        </w:tc>
      </w:tr>
    </w:tbl>
    <w:p>
      <w:pPr>
        <w:spacing w:after="360"/>
      </w:pP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val="0"/>
                <w:color w:val="1F2A2A"/>
                <w:sz w:val="21"/>
              </w:rPr>
              <w:t>Leitplanke: Nur synthetische oder robust anonymisierte Übungsdaten. Das Training ersetzt keine Rechts-, Datenschutz-, Sicherheits- oder Toolfreigabe und gibt keine Compliance- oder Kompetenzgarantie.</w:t>
            </w:r>
          </w:p>
        </w:tc>
      </w:tr>
    </w:tbl>
    <w:p>
      <w:pPr>
        <w:spacing w:after="40"/>
      </w:pPr>
    </w:p>
    <w:p>
      <w:pPr>
        <w:spacing w:before="360"/>
      </w:pPr>
      <w:r>
        <w:rPr>
          <w:rFonts w:ascii="Calibri" w:hAnsi="Calibri"/>
          <w:b/>
          <w:color w:val="163F9E"/>
          <w:sz w:val="26"/>
        </w:rPr>
        <w:t>Klein starten. Sorgfältig prüfen. Verantwortung klar halten.</w:t>
      </w:r>
    </w:p>
    <w:p>
      <w:pPr>
        <w:pStyle w:val="Heading1"/>
        <w:pageBreakBefore/>
      </w:pPr>
      <w:r>
        <w:t>Preflight – 20 Minuten vor Beginn</w:t>
      </w:r>
    </w:p>
    <w:p>
      <w:pPr>
        <w:pStyle w:val="MHCompact"/>
      </w:pPr>
      <w:r>
        <w:rPr>
          <w:rFonts w:ascii="Calibri" w:hAnsi="Calibri"/>
          <w:b w:val="0"/>
          <w:color w:val="1F2A2A"/>
          <w:sz w:val="20"/>
        </w:rPr>
        <w:t>Diese Seite vollständig prüfen. Offene Punkte werden vor der ersten Eingabe gestoppt oder in den Offline-Modus überführt.</w:t>
      </w:r>
    </w:p>
    <w:p>
      <w:pPr>
        <w:pStyle w:val="MHChecklist"/>
        <w:numPr>
          <w:ilvl w:val="0"/>
          <w:numId w:val="10"/>
        </w:numPr>
      </w:pPr>
      <w:r>
        <w:rPr>
          <w:rFonts w:ascii="Calibri" w:hAnsi="Calibri"/>
          <w:b w:val="0"/>
          <w:color w:val="1F2A2A"/>
          <w:sz w:val="19"/>
        </w:rPr>
        <w:t>Kundenname, Datum, Trainername, Beginn, Pause und Endzeit in Folie 01–03 eingetragen.</w:t>
      </w:r>
    </w:p>
    <w:p>
      <w:pPr>
        <w:pStyle w:val="MHChecklist"/>
        <w:numPr>
          <w:ilvl w:val="0"/>
          <w:numId w:val="10"/>
        </w:numPr>
      </w:pPr>
      <w:r>
        <w:rPr>
          <w:rFonts w:ascii="Calibri" w:hAnsi="Calibri"/>
          <w:b w:val="0"/>
          <w:color w:val="1F2A2A"/>
          <w:sz w:val="19"/>
        </w:rPr>
        <w:t>Teilnehmerzahl höchstens 15; Raum, Sitzordnung oder Videolink funktionieren.</w:t>
      </w:r>
    </w:p>
    <w:p>
      <w:pPr>
        <w:pStyle w:val="MHChecklist"/>
        <w:numPr>
          <w:ilvl w:val="0"/>
          <w:numId w:val="10"/>
        </w:numPr>
      </w:pPr>
      <w:r>
        <w:rPr>
          <w:rFonts w:ascii="Calibri" w:hAnsi="Calibri"/>
          <w:b w:val="0"/>
          <w:color w:val="1F2A2A"/>
          <w:sz w:val="19"/>
        </w:rPr>
        <w:t>Präsentation 06-trainerfolien.pptx geöffnet; PDF-Fallback lokal verfügbar.</w:t>
      </w:r>
    </w:p>
    <w:p>
      <w:pPr>
        <w:pStyle w:val="MHChecklist"/>
        <w:numPr>
          <w:ilvl w:val="0"/>
          <w:numId w:val="10"/>
        </w:numPr>
      </w:pPr>
      <w:r>
        <w:rPr>
          <w:rFonts w:ascii="Calibri" w:hAnsi="Calibri"/>
          <w:b w:val="0"/>
          <w:color w:val="1F2A2A"/>
          <w:sz w:val="19"/>
        </w:rPr>
        <w:t>Freigegebenes Werkzeug, Unternehmenskonto und erlaubter Nutzungszweck vom Kunden benannt.</w:t>
      </w:r>
    </w:p>
    <w:p>
      <w:pPr>
        <w:pStyle w:val="MHChecklist"/>
        <w:numPr>
          <w:ilvl w:val="0"/>
          <w:numId w:val="10"/>
        </w:numPr>
      </w:pPr>
      <w:r>
        <w:rPr>
          <w:rFonts w:ascii="Calibri" w:hAnsi="Calibri"/>
          <w:b w:val="0"/>
          <w:color w:val="1F2A2A"/>
          <w:sz w:val="19"/>
        </w:rPr>
        <w:t>Keine privaten Konten; keine Passwörter oder Zugangsdaten auf Folien oder Arbeitsblättern.</w:t>
      </w:r>
    </w:p>
    <w:p>
      <w:pPr>
        <w:pStyle w:val="MHChecklist"/>
        <w:numPr>
          <w:ilvl w:val="0"/>
          <w:numId w:val="10"/>
        </w:numPr>
      </w:pPr>
      <w:r>
        <w:rPr>
          <w:rFonts w:ascii="Calibri" w:hAnsi="Calibri"/>
          <w:b w:val="0"/>
          <w:color w:val="1F2A2A"/>
          <w:sz w:val="19"/>
        </w:rPr>
        <w:t>Ausgewählter Praxisfall festgelegt; Basis- oder Fortgeschrittenenstufe entschieden.</w:t>
      </w:r>
    </w:p>
    <w:p>
      <w:pPr>
        <w:pStyle w:val="MHChecklist"/>
        <w:numPr>
          <w:ilvl w:val="0"/>
          <w:numId w:val="10"/>
        </w:numPr>
      </w:pPr>
      <w:r>
        <w:rPr>
          <w:rFonts w:ascii="Calibri" w:hAnsi="Calibri"/>
          <w:b w:val="0"/>
          <w:color w:val="1F2A2A"/>
          <w:sz w:val="19"/>
        </w:rPr>
        <w:t>Praxisfall, Beispielausgabe und Ersatzmaterial ausschließlich synthetisch geprüft.</w:t>
      </w:r>
    </w:p>
    <w:p>
      <w:pPr>
        <w:pStyle w:val="MHChecklist"/>
        <w:numPr>
          <w:ilvl w:val="0"/>
          <w:numId w:val="10"/>
        </w:numPr>
      </w:pPr>
      <w:r>
        <w:rPr>
          <w:rFonts w:ascii="Calibri" w:hAnsi="Calibri"/>
          <w:b w:val="0"/>
          <w:color w:val="1F2A2A"/>
          <w:sz w:val="19"/>
        </w:rPr>
        <w:t>Gelbe Kundendaten durch synthetische Angaben ersetzt; rote Daten vollständig ausgeschlossen.</w:t>
      </w:r>
    </w:p>
    <w:p>
      <w:pPr>
        <w:pStyle w:val="MHChecklist"/>
        <w:numPr>
          <w:ilvl w:val="0"/>
          <w:numId w:val="10"/>
        </w:numPr>
      </w:pPr>
      <w:r>
        <w:rPr>
          <w:rFonts w:ascii="Calibri" w:hAnsi="Calibri"/>
          <w:b w:val="0"/>
          <w:color w:val="1F2A2A"/>
          <w:sz w:val="19"/>
        </w:rPr>
        <w:t>Interne Rollen für Fachprüfung, Toolfreigabe, Datenschutz, Informationssicherheit und Eskalation benannt.</w:t>
      </w:r>
    </w:p>
    <w:p>
      <w:pPr>
        <w:pStyle w:val="MHChecklist"/>
        <w:numPr>
          <w:ilvl w:val="0"/>
          <w:numId w:val="10"/>
        </w:numPr>
      </w:pPr>
      <w:r>
        <w:rPr>
          <w:rFonts w:ascii="Calibri" w:hAnsi="Calibri"/>
          <w:b w:val="0"/>
          <w:color w:val="1F2A2A"/>
          <w:sz w:val="19"/>
        </w:rPr>
        <w:t>Teilnehmerhefte und Fallmappen gedruckt oder digital verteilt; keine Trainerantworten im Teilnehmerpaket.</w:t>
      </w:r>
    </w:p>
    <w:p>
      <w:pPr>
        <w:pStyle w:val="MHChecklist"/>
        <w:numPr>
          <w:ilvl w:val="0"/>
          <w:numId w:val="10"/>
        </w:numPr>
      </w:pPr>
      <w:r>
        <w:rPr>
          <w:rFonts w:ascii="Calibri" w:hAnsi="Calibri"/>
          <w:b w:val="0"/>
          <w:color w:val="1F2A2A"/>
          <w:sz w:val="19"/>
        </w:rPr>
        <w:t>Offline-Fallback ausgedruckt: Folien-PDF, Fallmappe, Beispielausgabe, Datenkarten und Prüfroutine.</w:t>
      </w:r>
    </w:p>
    <w:p>
      <w:pPr>
        <w:pStyle w:val="MHChecklist"/>
        <w:numPr>
          <w:ilvl w:val="0"/>
          <w:numId w:val="10"/>
        </w:numPr>
      </w:pPr>
      <w:r>
        <w:rPr>
          <w:rFonts w:ascii="Calibri" w:hAnsi="Calibri"/>
          <w:b w:val="0"/>
          <w:color w:val="1F2A2A"/>
          <w:sz w:val="19"/>
        </w:rPr>
        <w:t>Demo-Eingabe vorab getestet; Browserfenster, Verlauf und Benachrichtigungen bereinigt.</w:t>
      </w:r>
    </w:p>
    <w:p>
      <w:pPr>
        <w:pStyle w:val="MHChecklist"/>
        <w:numPr>
          <w:ilvl w:val="0"/>
          <w:numId w:val="10"/>
        </w:numPr>
      </w:pPr>
      <w:r>
        <w:rPr>
          <w:rFonts w:ascii="Calibri" w:hAnsi="Calibri"/>
          <w:b w:val="0"/>
          <w:color w:val="1F2A2A"/>
          <w:sz w:val="19"/>
        </w:rPr>
        <w:t>Safety Stop vereinbart: Bei realen sensiblen Daten sofort stoppen, nicht eingeben, synthetisch ersetzen.</w:t>
      </w:r>
    </w:p>
    <w:p>
      <w:pPr>
        <w:pStyle w:val="MHChecklist"/>
        <w:numPr>
          <w:ilvl w:val="0"/>
          <w:numId w:val="10"/>
        </w:numPr>
      </w:pPr>
      <w:r>
        <w:rPr>
          <w:rFonts w:ascii="Calibri" w:hAnsi="Calibri"/>
          <w:b w:val="0"/>
          <w:color w:val="1F2A2A"/>
          <w:sz w:val="19"/>
        </w:rPr>
        <w:t>Dokumentationsablage und zuständige Person für Teilnahmeliste/Nachbereitung bestätigt.</w:t>
      </w:r>
    </w:p>
    <w:p>
      <w:pPr>
        <w:pStyle w:val="MHCompact"/>
      </w:pPr>
      <w:r>
        <w:rPr>
          <w:rFonts w:ascii="Calibri" w:hAnsi="Calibri"/>
          <w:b/>
          <w:color w:val="163F9E"/>
          <w:sz w:val="20"/>
        </w:rPr>
        <w:t xml:space="preserve">Offener Punkt / Entscheidung: </w:t>
      </w:r>
      <w:r>
        <w:rPr>
          <w:rFonts w:ascii="Calibri" w:hAnsi="Calibri"/>
          <w:b w:val="0"/>
          <w:color w:val="1F2A2A"/>
          <w:sz w:val="20"/>
        </w:rPr>
        <w:t>____________________________________________________________</w:t>
      </w:r>
    </w:p>
    <w:p>
      <w:pPr>
        <w:pStyle w:val="Heading1"/>
        <w:pageBreakBefore/>
      </w:pPr>
      <w:r>
        <w:t>Ablauf auf einen Blick</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1400"/>
        <w:gridCol w:w="1800"/>
        <w:gridCol w:w="4660"/>
      </w:tblGrid>
      <w:tr>
        <w:tc>
          <w:tcPr>
            <w:tcW w:type="dxa" w:w="1500"/>
            <w:vAlign w:val="center"/>
            <w:tcMar>
              <w:top w:w="100" w:type="dxa"/>
              <w:bottom w:w="100" w:type="dxa"/>
              <w:start w:w="120" w:type="dxa"/>
              <w:end w:w="120" w:type="dxa"/>
            </w:tcMar>
            <w:shd w:fill="EDE7DA"/>
          </w:tcPr>
          <w:p>
            <w:r>
              <w:rPr>
                <w:rFonts w:ascii="Calibri" w:hAnsi="Calibri"/>
                <w:b/>
                <w:color w:val="1F2A2A"/>
                <w:sz w:val="19"/>
              </w:rPr>
              <w:t>Zeit</w:t>
            </w:r>
          </w:p>
        </w:tc>
        <w:tc>
          <w:tcPr>
            <w:tcW w:type="dxa" w:w="1400"/>
            <w:vAlign w:val="center"/>
            <w:tcMar>
              <w:top w:w="100" w:type="dxa"/>
              <w:bottom w:w="100" w:type="dxa"/>
              <w:start w:w="120" w:type="dxa"/>
              <w:end w:w="120" w:type="dxa"/>
            </w:tcMar>
            <w:shd w:fill="EDE7DA"/>
          </w:tcPr>
          <w:p>
            <w:r>
              <w:rPr>
                <w:rFonts w:ascii="Calibri" w:hAnsi="Calibri"/>
                <w:b/>
                <w:color w:val="1F2A2A"/>
                <w:sz w:val="19"/>
              </w:rPr>
              <w:t>Phase</w:t>
            </w:r>
          </w:p>
        </w:tc>
        <w:tc>
          <w:tcPr>
            <w:tcW w:type="dxa" w:w="1800"/>
            <w:vAlign w:val="center"/>
            <w:tcMar>
              <w:top w:w="100" w:type="dxa"/>
              <w:bottom w:w="100" w:type="dxa"/>
              <w:start w:w="120" w:type="dxa"/>
              <w:end w:w="120" w:type="dxa"/>
            </w:tcMar>
            <w:shd w:fill="EDE7DA"/>
          </w:tcPr>
          <w:p>
            <w:r>
              <w:rPr>
                <w:rFonts w:ascii="Calibri" w:hAnsi="Calibri"/>
                <w:b/>
                <w:color w:val="1F2A2A"/>
                <w:sz w:val="19"/>
              </w:rPr>
              <w:t>Folien</w:t>
            </w:r>
          </w:p>
        </w:tc>
        <w:tc>
          <w:tcPr>
            <w:tcW w:type="dxa" w:w="4660"/>
            <w:vAlign w:val="center"/>
            <w:tcMar>
              <w:top w:w="100" w:type="dxa"/>
              <w:bottom w:w="100" w:type="dxa"/>
              <w:start w:w="120" w:type="dxa"/>
              <w:end w:w="120" w:type="dxa"/>
            </w:tcMar>
            <w:shd w:fill="EDE7DA"/>
          </w:tcPr>
          <w:p>
            <w:r>
              <w:rPr>
                <w:rFonts w:ascii="Calibri" w:hAnsi="Calibri"/>
                <w:b/>
                <w:color w:val="1F2A2A"/>
                <w:sz w:val="19"/>
              </w:rPr>
              <w:t>Ziel</w:t>
            </w:r>
          </w:p>
        </w:tc>
      </w:tr>
      <w:tr>
        <w:tc>
          <w:tcPr>
            <w:tcW w:type="dxa" w:w="1500"/>
            <w:vAlign w:val="center"/>
            <w:tcMar>
              <w:top w:w="100" w:type="dxa"/>
              <w:bottom w:w="100" w:type="dxa"/>
              <w:start w:w="120" w:type="dxa"/>
              <w:end w:w="120" w:type="dxa"/>
            </w:tcMar>
          </w:tcPr>
          <w:p>
            <w:r>
              <w:rPr>
                <w:rFonts w:ascii="Calibri" w:hAnsi="Calibri"/>
                <w:b w:val="0"/>
                <w:color w:val="1F2A2A"/>
                <w:sz w:val="18"/>
              </w:rPr>
              <w:t>00:00–00:15</w:t>
            </w:r>
          </w:p>
        </w:tc>
        <w:tc>
          <w:tcPr>
            <w:tcW w:type="dxa" w:w="1400"/>
            <w:vAlign w:val="center"/>
            <w:tcMar>
              <w:top w:w="100" w:type="dxa"/>
              <w:bottom w:w="100" w:type="dxa"/>
              <w:start w:w="120" w:type="dxa"/>
              <w:end w:w="120" w:type="dxa"/>
            </w:tcMar>
          </w:tcPr>
          <w:p>
            <w:r>
              <w:rPr>
                <w:rFonts w:ascii="Calibri" w:hAnsi="Calibri"/>
                <w:b/>
                <w:color w:val="1F2A2A"/>
                <w:sz w:val="18"/>
              </w:rPr>
              <w:t>Modul 1</w:t>
            </w:r>
          </w:p>
        </w:tc>
        <w:tc>
          <w:tcPr>
            <w:tcW w:type="dxa" w:w="1800"/>
            <w:vAlign w:val="center"/>
            <w:tcMar>
              <w:top w:w="100" w:type="dxa"/>
              <w:bottom w:w="100" w:type="dxa"/>
              <w:start w:w="120" w:type="dxa"/>
              <w:end w:w="120" w:type="dxa"/>
            </w:tcMar>
          </w:tcPr>
          <w:p>
            <w:r>
              <w:rPr>
                <w:rFonts w:ascii="Calibri" w:hAnsi="Calibri"/>
                <w:b w:val="0"/>
                <w:color w:val="1F2A2A"/>
                <w:sz w:val="18"/>
              </w:rPr>
              <w:t>Folien 01–05</w:t>
            </w:r>
          </w:p>
        </w:tc>
        <w:tc>
          <w:tcPr>
            <w:tcW w:type="dxa" w:w="4660"/>
            <w:vAlign w:val="center"/>
            <w:tcMar>
              <w:top w:w="100" w:type="dxa"/>
              <w:bottom w:w="100" w:type="dxa"/>
              <w:start w:w="120" w:type="dxa"/>
              <w:end w:w="120" w:type="dxa"/>
            </w:tcMar>
          </w:tcPr>
          <w:p>
            <w:r>
              <w:rPr>
                <w:rFonts w:ascii="Calibri" w:hAnsi="Calibri"/>
                <w:b w:val="0"/>
                <w:color w:val="1F2A2A"/>
                <w:sz w:val="18"/>
              </w:rPr>
              <w:t>Einstieg, Ziele und Werkzeugrahmen</w:t>
            </w:r>
          </w:p>
        </w:tc>
      </w:tr>
      <w:tr>
        <w:tc>
          <w:tcPr>
            <w:tcW w:type="dxa" w:w="1500"/>
            <w:vAlign w:val="center"/>
            <w:tcMar>
              <w:top w:w="100" w:type="dxa"/>
              <w:bottom w:w="100" w:type="dxa"/>
              <w:start w:w="120" w:type="dxa"/>
              <w:end w:w="120" w:type="dxa"/>
            </w:tcMar>
          </w:tcPr>
          <w:p>
            <w:r>
              <w:rPr>
                <w:rFonts w:ascii="Calibri" w:hAnsi="Calibri"/>
                <w:b w:val="0"/>
                <w:color w:val="1F2A2A"/>
                <w:sz w:val="18"/>
              </w:rPr>
              <w:t>00:15–00:35</w:t>
            </w:r>
          </w:p>
        </w:tc>
        <w:tc>
          <w:tcPr>
            <w:tcW w:type="dxa" w:w="1400"/>
            <w:vAlign w:val="center"/>
            <w:tcMar>
              <w:top w:w="100" w:type="dxa"/>
              <w:bottom w:w="100" w:type="dxa"/>
              <w:start w:w="120" w:type="dxa"/>
              <w:end w:w="120" w:type="dxa"/>
            </w:tcMar>
          </w:tcPr>
          <w:p>
            <w:r>
              <w:rPr>
                <w:rFonts w:ascii="Calibri" w:hAnsi="Calibri"/>
                <w:b/>
                <w:color w:val="1F2A2A"/>
                <w:sz w:val="18"/>
              </w:rPr>
              <w:t>Modul 2</w:t>
            </w:r>
          </w:p>
        </w:tc>
        <w:tc>
          <w:tcPr>
            <w:tcW w:type="dxa" w:w="1800"/>
            <w:vAlign w:val="center"/>
            <w:tcMar>
              <w:top w:w="100" w:type="dxa"/>
              <w:bottom w:w="100" w:type="dxa"/>
              <w:start w:w="120" w:type="dxa"/>
              <w:end w:w="120" w:type="dxa"/>
            </w:tcMar>
          </w:tcPr>
          <w:p>
            <w:r>
              <w:rPr>
                <w:rFonts w:ascii="Calibri" w:hAnsi="Calibri"/>
                <w:b w:val="0"/>
                <w:color w:val="1F2A2A"/>
                <w:sz w:val="18"/>
              </w:rPr>
              <w:t>Folien 06–09</w:t>
            </w:r>
          </w:p>
        </w:tc>
        <w:tc>
          <w:tcPr>
            <w:tcW w:type="dxa" w:w="4660"/>
            <w:vAlign w:val="center"/>
            <w:tcMar>
              <w:top w:w="100" w:type="dxa"/>
              <w:bottom w:w="100" w:type="dxa"/>
              <w:start w:w="120" w:type="dxa"/>
              <w:end w:w="120" w:type="dxa"/>
            </w:tcMar>
          </w:tcPr>
          <w:p>
            <w:r>
              <w:rPr>
                <w:rFonts w:ascii="Calibri" w:hAnsi="Calibri"/>
                <w:b w:val="0"/>
                <w:color w:val="1F2A2A"/>
                <w:sz w:val="18"/>
              </w:rPr>
              <w:t>KI-Grundlagen</w:t>
            </w:r>
          </w:p>
        </w:tc>
      </w:tr>
      <w:tr>
        <w:tc>
          <w:tcPr>
            <w:tcW w:type="dxa" w:w="1500"/>
            <w:vAlign w:val="center"/>
            <w:tcMar>
              <w:top w:w="100" w:type="dxa"/>
              <w:bottom w:w="100" w:type="dxa"/>
              <w:start w:w="120" w:type="dxa"/>
              <w:end w:w="120" w:type="dxa"/>
            </w:tcMar>
          </w:tcPr>
          <w:p>
            <w:r>
              <w:rPr>
                <w:rFonts w:ascii="Calibri" w:hAnsi="Calibri"/>
                <w:b w:val="0"/>
                <w:color w:val="1F2A2A"/>
                <w:sz w:val="18"/>
              </w:rPr>
              <w:t>00:35–01:00</w:t>
            </w:r>
          </w:p>
        </w:tc>
        <w:tc>
          <w:tcPr>
            <w:tcW w:type="dxa" w:w="1400"/>
            <w:vAlign w:val="center"/>
            <w:tcMar>
              <w:top w:w="100" w:type="dxa"/>
              <w:bottom w:w="100" w:type="dxa"/>
              <w:start w:w="120" w:type="dxa"/>
              <w:end w:w="120" w:type="dxa"/>
            </w:tcMar>
          </w:tcPr>
          <w:p>
            <w:r>
              <w:rPr>
                <w:rFonts w:ascii="Calibri" w:hAnsi="Calibri"/>
                <w:b/>
                <w:color w:val="1F2A2A"/>
                <w:sz w:val="18"/>
              </w:rPr>
              <w:t>Modul 3</w:t>
            </w:r>
          </w:p>
        </w:tc>
        <w:tc>
          <w:tcPr>
            <w:tcW w:type="dxa" w:w="1800"/>
            <w:vAlign w:val="center"/>
            <w:tcMar>
              <w:top w:w="100" w:type="dxa"/>
              <w:bottom w:w="100" w:type="dxa"/>
              <w:start w:w="120" w:type="dxa"/>
              <w:end w:w="120" w:type="dxa"/>
            </w:tcMar>
          </w:tcPr>
          <w:p>
            <w:r>
              <w:rPr>
                <w:rFonts w:ascii="Calibri" w:hAnsi="Calibri"/>
                <w:b w:val="0"/>
                <w:color w:val="1F2A2A"/>
                <w:sz w:val="18"/>
              </w:rPr>
              <w:t>Folien 10–17</w:t>
            </w:r>
          </w:p>
        </w:tc>
        <w:tc>
          <w:tcPr>
            <w:tcW w:type="dxa" w:w="4660"/>
            <w:vAlign w:val="center"/>
            <w:tcMar>
              <w:top w:w="100" w:type="dxa"/>
              <w:bottom w:w="100" w:type="dxa"/>
              <w:start w:w="120" w:type="dxa"/>
              <w:end w:w="120" w:type="dxa"/>
            </w:tcMar>
          </w:tcPr>
          <w:p>
            <w:r>
              <w:rPr>
                <w:rFonts w:ascii="Calibri" w:hAnsi="Calibri"/>
                <w:b w:val="0"/>
                <w:color w:val="1F2A2A"/>
                <w:sz w:val="18"/>
              </w:rPr>
              <w:t>Möglichkeiten und Grenzen</w:t>
            </w:r>
          </w:p>
        </w:tc>
      </w:tr>
      <w:tr>
        <w:tc>
          <w:tcPr>
            <w:tcW w:type="dxa" w:w="1500"/>
            <w:vAlign w:val="center"/>
            <w:tcMar>
              <w:top w:w="100" w:type="dxa"/>
              <w:bottom w:w="100" w:type="dxa"/>
              <w:start w:w="120" w:type="dxa"/>
              <w:end w:w="120" w:type="dxa"/>
            </w:tcMar>
          </w:tcPr>
          <w:p>
            <w:r>
              <w:rPr>
                <w:rFonts w:ascii="Calibri" w:hAnsi="Calibri"/>
                <w:b w:val="0"/>
                <w:color w:val="1F2A2A"/>
                <w:sz w:val="18"/>
              </w:rPr>
              <w:t>01:00–01:25</w:t>
            </w:r>
          </w:p>
        </w:tc>
        <w:tc>
          <w:tcPr>
            <w:tcW w:type="dxa" w:w="1400"/>
            <w:vAlign w:val="center"/>
            <w:tcMar>
              <w:top w:w="100" w:type="dxa"/>
              <w:bottom w:w="100" w:type="dxa"/>
              <w:start w:w="120" w:type="dxa"/>
              <w:end w:w="120" w:type="dxa"/>
            </w:tcMar>
          </w:tcPr>
          <w:p>
            <w:r>
              <w:rPr>
                <w:rFonts w:ascii="Calibri" w:hAnsi="Calibri"/>
                <w:b/>
                <w:color w:val="1F2A2A"/>
                <w:sz w:val="18"/>
              </w:rPr>
              <w:t>Modul 4</w:t>
            </w:r>
          </w:p>
        </w:tc>
        <w:tc>
          <w:tcPr>
            <w:tcW w:type="dxa" w:w="1800"/>
            <w:vAlign w:val="center"/>
            <w:tcMar>
              <w:top w:w="100" w:type="dxa"/>
              <w:bottom w:w="100" w:type="dxa"/>
              <w:start w:w="120" w:type="dxa"/>
              <w:end w:w="120" w:type="dxa"/>
            </w:tcMar>
          </w:tcPr>
          <w:p>
            <w:r>
              <w:rPr>
                <w:rFonts w:ascii="Calibri" w:hAnsi="Calibri"/>
                <w:b w:val="0"/>
                <w:color w:val="1F2A2A"/>
                <w:sz w:val="18"/>
              </w:rPr>
              <w:t>Folien 18–22</w:t>
            </w:r>
          </w:p>
        </w:tc>
        <w:tc>
          <w:tcPr>
            <w:tcW w:type="dxa" w:w="4660"/>
            <w:vAlign w:val="center"/>
            <w:tcMar>
              <w:top w:w="100" w:type="dxa"/>
              <w:bottom w:w="100" w:type="dxa"/>
              <w:start w:w="120" w:type="dxa"/>
              <w:end w:w="120" w:type="dxa"/>
            </w:tcMar>
          </w:tcPr>
          <w:p>
            <w:r>
              <w:rPr>
                <w:rFonts w:ascii="Calibri" w:hAnsi="Calibri"/>
                <w:b w:val="0"/>
                <w:color w:val="1F2A2A"/>
                <w:sz w:val="18"/>
              </w:rPr>
              <w:t>Gute Prompts</w:t>
            </w:r>
          </w:p>
        </w:tc>
      </w:tr>
      <w:tr>
        <w:tc>
          <w:tcPr>
            <w:tcW w:type="dxa" w:w="1500"/>
            <w:vAlign w:val="center"/>
            <w:tcMar>
              <w:top w:w="100" w:type="dxa"/>
              <w:bottom w:w="100" w:type="dxa"/>
              <w:start w:w="120" w:type="dxa"/>
              <w:end w:w="120" w:type="dxa"/>
            </w:tcMar>
          </w:tcPr>
          <w:p>
            <w:r>
              <w:rPr>
                <w:rFonts w:ascii="Calibri" w:hAnsi="Calibri"/>
                <w:b w:val="0"/>
                <w:color w:val="1F2A2A"/>
                <w:sz w:val="18"/>
              </w:rPr>
              <w:t>01:25–01:35</w:t>
            </w:r>
          </w:p>
        </w:tc>
        <w:tc>
          <w:tcPr>
            <w:tcW w:type="dxa" w:w="1400"/>
            <w:vAlign w:val="center"/>
            <w:tcMar>
              <w:top w:w="100" w:type="dxa"/>
              <w:bottom w:w="100" w:type="dxa"/>
              <w:start w:w="120" w:type="dxa"/>
              <w:end w:w="120" w:type="dxa"/>
            </w:tcMar>
          </w:tcPr>
          <w:p>
            <w:r>
              <w:rPr>
                <w:rFonts w:ascii="Calibri" w:hAnsi="Calibri"/>
                <w:b/>
                <w:color w:val="1F2A2A"/>
                <w:sz w:val="18"/>
              </w:rPr>
              <w:t>Pause</w:t>
            </w:r>
          </w:p>
        </w:tc>
        <w:tc>
          <w:tcPr>
            <w:tcW w:type="dxa" w:w="1800"/>
            <w:vAlign w:val="center"/>
            <w:tcMar>
              <w:top w:w="100" w:type="dxa"/>
              <w:bottom w:w="100" w:type="dxa"/>
              <w:start w:w="120" w:type="dxa"/>
              <w:end w:w="120" w:type="dxa"/>
            </w:tcMar>
          </w:tcPr>
          <w:p>
            <w:r>
              <w:rPr>
                <w:rFonts w:ascii="Calibri" w:hAnsi="Calibri"/>
                <w:b w:val="0"/>
                <w:color w:val="1F2A2A"/>
                <w:sz w:val="18"/>
              </w:rPr>
              <w:t>Folie 23</w:t>
            </w:r>
          </w:p>
        </w:tc>
        <w:tc>
          <w:tcPr>
            <w:tcW w:type="dxa" w:w="4660"/>
            <w:vAlign w:val="center"/>
            <w:tcMar>
              <w:top w:w="100" w:type="dxa"/>
              <w:bottom w:w="100" w:type="dxa"/>
              <w:start w:w="120" w:type="dxa"/>
              <w:end w:w="120" w:type="dxa"/>
            </w:tcMar>
          </w:tcPr>
          <w:p>
            <w:r>
              <w:rPr>
                <w:rFonts w:ascii="Calibri" w:hAnsi="Calibri"/>
                <w:b w:val="0"/>
                <w:color w:val="1F2A2A"/>
                <w:sz w:val="18"/>
              </w:rPr>
              <w:t>Wiedereinstiegszeit nennen</w:t>
            </w:r>
          </w:p>
        </w:tc>
      </w:tr>
      <w:tr>
        <w:tc>
          <w:tcPr>
            <w:tcW w:type="dxa" w:w="1500"/>
            <w:vAlign w:val="center"/>
            <w:tcMar>
              <w:top w:w="100" w:type="dxa"/>
              <w:bottom w:w="100" w:type="dxa"/>
              <w:start w:w="120" w:type="dxa"/>
              <w:end w:w="120" w:type="dxa"/>
            </w:tcMar>
          </w:tcPr>
          <w:p>
            <w:r>
              <w:rPr>
                <w:rFonts w:ascii="Calibri" w:hAnsi="Calibri"/>
                <w:b w:val="0"/>
                <w:color w:val="1F2A2A"/>
                <w:sz w:val="18"/>
              </w:rPr>
              <w:t>01:35–02:05</w:t>
            </w:r>
          </w:p>
        </w:tc>
        <w:tc>
          <w:tcPr>
            <w:tcW w:type="dxa" w:w="1400"/>
            <w:vAlign w:val="center"/>
            <w:tcMar>
              <w:top w:w="100" w:type="dxa"/>
              <w:bottom w:w="100" w:type="dxa"/>
              <w:start w:w="120" w:type="dxa"/>
              <w:end w:w="120" w:type="dxa"/>
            </w:tcMar>
          </w:tcPr>
          <w:p>
            <w:r>
              <w:rPr>
                <w:rFonts w:ascii="Calibri" w:hAnsi="Calibri"/>
                <w:b/>
                <w:color w:val="1F2A2A"/>
                <w:sz w:val="18"/>
              </w:rPr>
              <w:t>Modul 5</w:t>
            </w:r>
          </w:p>
        </w:tc>
        <w:tc>
          <w:tcPr>
            <w:tcW w:type="dxa" w:w="1800"/>
            <w:vAlign w:val="center"/>
            <w:tcMar>
              <w:top w:w="100" w:type="dxa"/>
              <w:bottom w:w="100" w:type="dxa"/>
              <w:start w:w="120" w:type="dxa"/>
              <w:end w:w="120" w:type="dxa"/>
            </w:tcMar>
          </w:tcPr>
          <w:p>
            <w:r>
              <w:rPr>
                <w:rFonts w:ascii="Calibri" w:hAnsi="Calibri"/>
                <w:b w:val="0"/>
                <w:color w:val="1F2A2A"/>
                <w:sz w:val="18"/>
              </w:rPr>
              <w:t>Folien 24–32</w:t>
            </w:r>
          </w:p>
        </w:tc>
        <w:tc>
          <w:tcPr>
            <w:tcW w:type="dxa" w:w="4660"/>
            <w:vAlign w:val="center"/>
            <w:tcMar>
              <w:top w:w="100" w:type="dxa"/>
              <w:bottom w:w="100" w:type="dxa"/>
              <w:start w:w="120" w:type="dxa"/>
              <w:end w:w="120" w:type="dxa"/>
            </w:tcMar>
          </w:tcPr>
          <w:p>
            <w:r>
              <w:rPr>
                <w:rFonts w:ascii="Calibri" w:hAnsi="Calibri"/>
                <w:b w:val="0"/>
                <w:color w:val="1F2A2A"/>
                <w:sz w:val="18"/>
              </w:rPr>
              <w:t>Sicherer und verantwortungsvoller Einsatz</w:t>
            </w:r>
          </w:p>
        </w:tc>
      </w:tr>
      <w:tr>
        <w:tc>
          <w:tcPr>
            <w:tcW w:type="dxa" w:w="1500"/>
            <w:vAlign w:val="center"/>
            <w:tcMar>
              <w:top w:w="100" w:type="dxa"/>
              <w:bottom w:w="100" w:type="dxa"/>
              <w:start w:w="120" w:type="dxa"/>
              <w:end w:w="120" w:type="dxa"/>
            </w:tcMar>
          </w:tcPr>
          <w:p>
            <w:r>
              <w:rPr>
                <w:rFonts w:ascii="Calibri" w:hAnsi="Calibri"/>
                <w:b w:val="0"/>
                <w:color w:val="1F2A2A"/>
                <w:sz w:val="18"/>
              </w:rPr>
              <w:t>02:05–02:35</w:t>
            </w:r>
          </w:p>
        </w:tc>
        <w:tc>
          <w:tcPr>
            <w:tcW w:type="dxa" w:w="1400"/>
            <w:vAlign w:val="center"/>
            <w:tcMar>
              <w:top w:w="100" w:type="dxa"/>
              <w:bottom w:w="100" w:type="dxa"/>
              <w:start w:w="120" w:type="dxa"/>
              <w:end w:w="120" w:type="dxa"/>
            </w:tcMar>
          </w:tcPr>
          <w:p>
            <w:r>
              <w:rPr>
                <w:rFonts w:ascii="Calibri" w:hAnsi="Calibri"/>
                <w:b/>
                <w:color w:val="1F2A2A"/>
                <w:sz w:val="18"/>
              </w:rPr>
              <w:t>Modul 6</w:t>
            </w:r>
          </w:p>
        </w:tc>
        <w:tc>
          <w:tcPr>
            <w:tcW w:type="dxa" w:w="1800"/>
            <w:vAlign w:val="center"/>
            <w:tcMar>
              <w:top w:w="100" w:type="dxa"/>
              <w:bottom w:w="100" w:type="dxa"/>
              <w:start w:w="120" w:type="dxa"/>
              <w:end w:w="120" w:type="dxa"/>
            </w:tcMar>
          </w:tcPr>
          <w:p>
            <w:r>
              <w:rPr>
                <w:rFonts w:ascii="Calibri" w:hAnsi="Calibri"/>
                <w:b w:val="0"/>
                <w:color w:val="1F2A2A"/>
                <w:sz w:val="18"/>
              </w:rPr>
              <w:t>Folien 33–37</w:t>
            </w:r>
          </w:p>
        </w:tc>
        <w:tc>
          <w:tcPr>
            <w:tcW w:type="dxa" w:w="4660"/>
            <w:vAlign w:val="center"/>
            <w:tcMar>
              <w:top w:w="100" w:type="dxa"/>
              <w:bottom w:w="100" w:type="dxa"/>
              <w:start w:w="120" w:type="dxa"/>
              <w:end w:w="120" w:type="dxa"/>
            </w:tcMar>
          </w:tcPr>
          <w:p>
            <w:r>
              <w:rPr>
                <w:rFonts w:ascii="Calibri" w:hAnsi="Calibri"/>
                <w:b w:val="0"/>
                <w:color w:val="1F2A2A"/>
                <w:sz w:val="18"/>
              </w:rPr>
              <w:t>Unternehmensbezogene Praxisübung</w:t>
            </w:r>
          </w:p>
        </w:tc>
      </w:tr>
      <w:tr>
        <w:tc>
          <w:tcPr>
            <w:tcW w:type="dxa" w:w="1500"/>
            <w:vAlign w:val="center"/>
            <w:tcMar>
              <w:top w:w="100" w:type="dxa"/>
              <w:bottom w:w="100" w:type="dxa"/>
              <w:start w:w="120" w:type="dxa"/>
              <w:end w:w="120" w:type="dxa"/>
            </w:tcMar>
          </w:tcPr>
          <w:p>
            <w:r>
              <w:rPr>
                <w:rFonts w:ascii="Calibri" w:hAnsi="Calibri"/>
                <w:b w:val="0"/>
                <w:color w:val="1F2A2A"/>
                <w:sz w:val="18"/>
              </w:rPr>
              <w:t>02:35–02:50</w:t>
            </w:r>
          </w:p>
        </w:tc>
        <w:tc>
          <w:tcPr>
            <w:tcW w:type="dxa" w:w="1400"/>
            <w:vAlign w:val="center"/>
            <w:tcMar>
              <w:top w:w="100" w:type="dxa"/>
              <w:bottom w:w="100" w:type="dxa"/>
              <w:start w:w="120" w:type="dxa"/>
              <w:end w:w="120" w:type="dxa"/>
            </w:tcMar>
          </w:tcPr>
          <w:p>
            <w:r>
              <w:rPr>
                <w:rFonts w:ascii="Calibri" w:hAnsi="Calibri"/>
                <w:b/>
                <w:color w:val="1F2A2A"/>
                <w:sz w:val="18"/>
              </w:rPr>
              <w:t>Modul 7</w:t>
            </w:r>
          </w:p>
        </w:tc>
        <w:tc>
          <w:tcPr>
            <w:tcW w:type="dxa" w:w="1800"/>
            <w:vAlign w:val="center"/>
            <w:tcMar>
              <w:top w:w="100" w:type="dxa"/>
              <w:bottom w:w="100" w:type="dxa"/>
              <w:start w:w="120" w:type="dxa"/>
              <w:end w:w="120" w:type="dxa"/>
            </w:tcMar>
          </w:tcPr>
          <w:p>
            <w:r>
              <w:rPr>
                <w:rFonts w:ascii="Calibri" w:hAnsi="Calibri"/>
                <w:b w:val="0"/>
                <w:color w:val="1F2A2A"/>
                <w:sz w:val="18"/>
              </w:rPr>
              <w:t>Folie 38</w:t>
            </w:r>
          </w:p>
        </w:tc>
        <w:tc>
          <w:tcPr>
            <w:tcW w:type="dxa" w:w="4660"/>
            <w:vAlign w:val="center"/>
            <w:tcMar>
              <w:top w:w="100" w:type="dxa"/>
              <w:bottom w:w="100" w:type="dxa"/>
              <w:start w:w="120" w:type="dxa"/>
              <w:end w:w="120" w:type="dxa"/>
            </w:tcMar>
          </w:tcPr>
          <w:p>
            <w:r>
              <w:rPr>
                <w:rFonts w:ascii="Calibri" w:hAnsi="Calibri"/>
                <w:b w:val="0"/>
                <w:color w:val="1F2A2A"/>
                <w:sz w:val="18"/>
              </w:rPr>
              <w:t>Prüfen, verbessern und freigeben</w:t>
            </w:r>
          </w:p>
        </w:tc>
      </w:tr>
      <w:tr>
        <w:tc>
          <w:tcPr>
            <w:tcW w:type="dxa" w:w="1500"/>
            <w:vAlign w:val="center"/>
            <w:tcMar>
              <w:top w:w="100" w:type="dxa"/>
              <w:bottom w:w="100" w:type="dxa"/>
              <w:start w:w="120" w:type="dxa"/>
              <w:end w:w="120" w:type="dxa"/>
            </w:tcMar>
          </w:tcPr>
          <w:p>
            <w:r>
              <w:rPr>
                <w:rFonts w:ascii="Calibri" w:hAnsi="Calibri"/>
                <w:b w:val="0"/>
                <w:color w:val="1F2A2A"/>
                <w:sz w:val="18"/>
              </w:rPr>
              <w:t>02:50–03:00</w:t>
            </w:r>
          </w:p>
        </w:tc>
        <w:tc>
          <w:tcPr>
            <w:tcW w:type="dxa" w:w="1400"/>
            <w:vAlign w:val="center"/>
            <w:tcMar>
              <w:top w:w="100" w:type="dxa"/>
              <w:bottom w:w="100" w:type="dxa"/>
              <w:start w:w="120" w:type="dxa"/>
              <w:end w:w="120" w:type="dxa"/>
            </w:tcMar>
          </w:tcPr>
          <w:p>
            <w:r>
              <w:rPr>
                <w:rFonts w:ascii="Calibri" w:hAnsi="Calibri"/>
                <w:b/>
                <w:color w:val="1F2A2A"/>
                <w:sz w:val="18"/>
              </w:rPr>
              <w:t>Modul 8</w:t>
            </w:r>
          </w:p>
        </w:tc>
        <w:tc>
          <w:tcPr>
            <w:tcW w:type="dxa" w:w="1800"/>
            <w:vAlign w:val="center"/>
            <w:tcMar>
              <w:top w:w="100" w:type="dxa"/>
              <w:bottom w:w="100" w:type="dxa"/>
              <w:start w:w="120" w:type="dxa"/>
              <w:end w:w="120" w:type="dxa"/>
            </w:tcMar>
          </w:tcPr>
          <w:p>
            <w:r>
              <w:rPr>
                <w:rFonts w:ascii="Calibri" w:hAnsi="Calibri"/>
                <w:b w:val="0"/>
                <w:color w:val="1F2A2A"/>
                <w:sz w:val="18"/>
              </w:rPr>
              <w:t>Folien 39–40</w:t>
            </w:r>
          </w:p>
        </w:tc>
        <w:tc>
          <w:tcPr>
            <w:tcW w:type="dxa" w:w="4660"/>
            <w:vAlign w:val="center"/>
            <w:tcMar>
              <w:top w:w="100" w:type="dxa"/>
              <w:bottom w:w="100" w:type="dxa"/>
              <w:start w:w="120" w:type="dxa"/>
              <w:end w:w="120" w:type="dxa"/>
            </w:tcMar>
          </w:tcPr>
          <w:p>
            <w:r>
              <w:rPr>
                <w:rFonts w:ascii="Calibri" w:hAnsi="Calibri"/>
                <w:b w:val="0"/>
                <w:color w:val="1F2A2A"/>
                <w:sz w:val="18"/>
              </w:rPr>
              <w:t>Lerncheck und nächste Schritte</w:t>
            </w:r>
          </w:p>
        </w:tc>
      </w:tr>
    </w:tbl>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Zeitregel: Eine Diskussion wird beendet, sobald sie die anschließende Praxis, Prüfung oder den Abschluss gefährdet. Spezialfragen kommen sichtbar in den Nachgang.</w:t>
            </w:r>
          </w:p>
        </w:tc>
      </w:tr>
    </w:tbl>
    <w:p>
      <w:pPr>
        <w:spacing w:after="40"/>
      </w:pPr>
    </w:p>
    <w:p>
      <w:pPr>
        <w:pStyle w:val="Heading1"/>
        <w:pageBreakBefore/>
      </w:pPr>
      <w:r>
        <w:t>Modul 1 – Einstieg, Ziele und Werkzeugrahmen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15 Minuten  ·  Folien: 01–05</w:t>
            </w:r>
          </w:p>
        </w:tc>
      </w:tr>
    </w:tbl>
    <w:p>
      <w:pPr>
        <w:spacing w:after="40"/>
      </w:pPr>
    </w:p>
    <w:p>
      <w:pPr/>
      <w:r>
        <w:rPr>
          <w:rFonts w:ascii="Calibri" w:hAnsi="Calibri"/>
          <w:b/>
          <w:color w:val="163F9E"/>
        </w:rPr>
        <w:t xml:space="preserve">Lernziel: </w:t>
      </w:r>
      <w:r>
        <w:rPr>
          <w:rFonts w:ascii="Calibri" w:hAnsi="Calibri"/>
          <w:b w:val="0"/>
          <w:color w:val="1F2A2A"/>
        </w:rPr>
        <w:t>Die Teilnehmenden kennen Ergebnis, Ablauf, Datenregel und die Grenzen des Trainings; das Ausgangsniveau ist sichtbar.</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„Heute geht es weder darum, KI blind zu feiern noch sie grundsätzlich zu vermeiden. Sie sollen nach drei Stunden besser entscheiden können, wann sie nützlich ist, welche Informationen hineindürfen und was Sie vor der Verwendung eines Ergebnisses prüfen müssen. Wir arbeiten nur mit den vorbereiteten synthetischen oder robust anonymisierten Beispielen. Geben Sie keine realen Personen-, Kunden-, Beschäftigten-, Gesundheits-, Geheimnis-, Finanz-, Zugangs- oder Sicherheitsdaten ein. Im Zweifel stoppen wir. Diese Schulung vermittelt Grundlagen; sie ersetzt keine Rechts-, Datenschutz-, Sicherheits- oder Toolfreigabe.“</w:t>
            </w:r>
          </w:p>
        </w:tc>
      </w:tr>
    </w:tbl>
    <w:p>
      <w:pPr>
        <w:spacing w:after="40"/>
      </w:pPr>
    </w:p>
    <w:p>
      <w:pPr/>
      <w:r>
        <w:rPr>
          <w:rFonts w:ascii="Calibri" w:hAnsi="Calibri"/>
          <w:b/>
          <w:color w:val="163F9E"/>
        </w:rPr>
        <w:t xml:space="preserve">Interaktion: </w:t>
      </w:r>
      <w:r>
        <w:rPr>
          <w:rFonts w:ascii="Calibri" w:hAnsi="Calibri"/>
          <w:b w:val="0"/>
          <w:color w:val="1F2A2A"/>
        </w:rPr>
        <w:t>Begrüßung; Ergebnisversprechen und Ablauf zeigen; per Handzeichen „nie“, „gelegentlich“ oder „mindestens wöchentlich“ abfragen; anschließend höchstens drei Aufgabenarten aus dem Raum sammeln.</w:t>
      </w:r>
    </w:p>
    <w:p>
      <w:pPr/>
      <w:r>
        <w:rPr>
          <w:rFonts w:ascii="Calibri" w:hAnsi="Calibri"/>
          <w:b/>
          <w:color w:val="163F9E"/>
        </w:rPr>
        <w:t xml:space="preserve">Erwartete Reaktion: </w:t>
      </w:r>
      <w:r>
        <w:rPr>
          <w:rFonts w:ascii="Calibri" w:hAnsi="Calibri"/>
          <w:b w:val="0"/>
          <w:color w:val="1F2A2A"/>
        </w:rPr>
        <w:t>Die Gruppe nennt unterschiedliche Erfahrungen und typische Aufgaben wie Entwürfe, Strukturierung oder Zusammenfassungen, ohne konkrete vertrauliche Inhalte offenzulegen.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Nach der Hälfte dieses Blocks die Erfahrungsabfrage beenden; keine Tooldiskussion vertiefen, sondern offene Punkte auf dem Parkplatz notieren.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ich ein bekanntes Tool privat nutze, ist es damit auch betrieblich freigegeben.“ Korrektur: Anwendung, Konto, Einstellungen, Vertrag, Zweck und interne Freigabe sind getrennt zu klären.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Fragen Sie nur nach Aufgabenarten, nie nach Fallnamen, Originaldokumenten oder Zugangsdaten. Das Training ist keine individuelle Leistungsbewertung.</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Zeigen Sie Agenda und Regeln aus dem ausgedruckten Teilnehmerblatt; erfassen Sie Handzeichen und Aufgabenarten auf Moderationskarten.</w:t>
      </w:r>
    </w:p>
    <w:p>
      <w:pPr>
        <w:pStyle w:val="Heading2"/>
      </w:pPr>
      <w:r>
        <w:t>Folienfolge</w:t>
      </w:r>
    </w:p>
    <w:p>
      <w:pPr>
        <w:pStyle w:val="MHChecklist"/>
        <w:numPr>
          <w:ilvl w:val="0"/>
          <w:numId w:val="11"/>
        </w:numPr>
      </w:pPr>
      <w:r>
        <w:rPr>
          <w:rFonts w:ascii="Calibri" w:hAnsi="Calibri"/>
          <w:b w:val="0"/>
          <w:color w:val="1F2A2A"/>
          <w:sz w:val="19"/>
        </w:rPr>
        <w:t>Folie 01: Begrüßen, Kunde, Datum und Rolle bestätigen.</w:t>
      </w:r>
    </w:p>
    <w:p>
      <w:pPr>
        <w:pStyle w:val="MHChecklist"/>
        <w:numPr>
          <w:ilvl w:val="0"/>
          <w:numId w:val="11"/>
        </w:numPr>
      </w:pPr>
      <w:r>
        <w:rPr>
          <w:rFonts w:ascii="Calibri" w:hAnsi="Calibri"/>
          <w:b w:val="0"/>
          <w:color w:val="1F2A2A"/>
          <w:sz w:val="19"/>
        </w:rPr>
        <w:t>Folie 02: Die fünf Zielhandlungen vorlesen und realistische Grenzen setzen.</w:t>
      </w:r>
    </w:p>
    <w:p>
      <w:pPr>
        <w:pStyle w:val="MHChecklist"/>
        <w:numPr>
          <w:ilvl w:val="0"/>
          <w:numId w:val="11"/>
        </w:numPr>
      </w:pPr>
      <w:r>
        <w:rPr>
          <w:rFonts w:ascii="Calibri" w:hAnsi="Calibri"/>
          <w:b w:val="0"/>
          <w:color w:val="1F2A2A"/>
          <w:sz w:val="19"/>
        </w:rPr>
        <w:t>Folie 03: Lernreise, vereinbarte Pause und Endzeit nennen.</w:t>
      </w:r>
    </w:p>
    <w:p>
      <w:pPr>
        <w:pStyle w:val="MHChecklist"/>
        <w:numPr>
          <w:ilvl w:val="0"/>
          <w:numId w:val="11"/>
        </w:numPr>
      </w:pPr>
      <w:r>
        <w:rPr>
          <w:rFonts w:ascii="Calibri" w:hAnsi="Calibri"/>
          <w:b w:val="0"/>
          <w:color w:val="1F2A2A"/>
          <w:sz w:val="19"/>
        </w:rPr>
        <w:t>Folie 04: Datenregel ausdrücklich bestätigen lassen.</w:t>
      </w:r>
    </w:p>
    <w:p>
      <w:pPr>
        <w:pStyle w:val="MHChecklist"/>
        <w:numPr>
          <w:ilvl w:val="0"/>
          <w:numId w:val="11"/>
        </w:numPr>
      </w:pPr>
      <w:r>
        <w:rPr>
          <w:rFonts w:ascii="Calibri" w:hAnsi="Calibri"/>
          <w:b w:val="0"/>
          <w:color w:val="1F2A2A"/>
          <w:sz w:val="19"/>
        </w:rPr>
        <w:t>Folie 05: Handzeichen-Abfrage durchführen und Antworten neutral spiegeln.</w:t>
      </w:r>
    </w:p>
    <w:p>
      <w:pPr>
        <w:pStyle w:val="Heading1"/>
        <w:pageBreakBefore/>
      </w:pPr>
      <w:r>
        <w:t>Modul 2 – KI-Grundlagen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20 Minuten  ·  Folien: 06–09</w:t>
            </w:r>
          </w:p>
        </w:tc>
      </w:tr>
    </w:tbl>
    <w:p>
      <w:pPr>
        <w:spacing w:after="40"/>
      </w:pPr>
    </w:p>
    <w:p>
      <w:pPr/>
      <w:r>
        <w:rPr>
          <w:rFonts w:ascii="Calibri" w:hAnsi="Calibri"/>
          <w:b/>
          <w:color w:val="163F9E"/>
        </w:rPr>
        <w:t xml:space="preserve">Lernziel: </w:t>
      </w:r>
      <w:r>
        <w:rPr>
          <w:rFonts w:ascii="Calibri" w:hAnsi="Calibri"/>
          <w:b w:val="0"/>
          <w:color w:val="1F2A2A"/>
        </w:rPr>
        <w:t>Die Teilnehmenden unterscheiden generative KI, Suchmaschine und klassische Software und können erklären, warum ein Sprachmodell plausible statt automatisch wahre Ausgaben erzeugt.</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„Mit KI meinen wir heute vor allem generative Werkzeuge für Texte, Bilder und Strukturen. Eine Suchmaschine findet vorhandene Fundstellen, klassische Software folgt programmierten Regeln und generative KI erzeugt auf Basis von Eingabe und Kontext wahrscheinliche Fortsetzungen. Ein Sprachmodell ist ein sehr leistungsfähiger Formulierungs- und Strukturierungsassistent. Es ist keine automatisch aktuelle Faktendatenbank und kein verantwortlicher Entscheider. Modell, Anwendung, Kontotyp und Einstellungen sind vier verschiedene Ebenen.“</w:t>
            </w:r>
          </w:p>
        </w:tc>
      </w:tr>
    </w:tbl>
    <w:p>
      <w:pPr>
        <w:spacing w:after="40"/>
      </w:pPr>
    </w:p>
    <w:p>
      <w:pPr/>
      <w:r>
        <w:rPr>
          <w:rFonts w:ascii="Calibri" w:hAnsi="Calibri"/>
          <w:b/>
          <w:color w:val="163F9E"/>
        </w:rPr>
        <w:t xml:space="preserve">Interaktion: </w:t>
      </w:r>
      <w:r>
        <w:rPr>
          <w:rFonts w:ascii="Calibri" w:hAnsi="Calibri"/>
          <w:b w:val="0"/>
          <w:color w:val="1F2A2A"/>
        </w:rPr>
        <w:t>Bitten Sie die Gruppe, je ein Alltagsbeispiel den drei Werkzeugarten zuzuordnen. Zeigen Sie anschließend eine Kartenkette „Eingabe + Kontext → Modell → Ausgabe → Prüfung“ und lassen Sie die Gruppe den letzten Schritt benennen.</w:t>
      </w:r>
    </w:p>
    <w:p>
      <w:pPr/>
      <w:r>
        <w:rPr>
          <w:rFonts w:ascii="Calibri" w:hAnsi="Calibri"/>
          <w:b/>
          <w:color w:val="163F9E"/>
        </w:rPr>
        <w:t xml:space="preserve">Erwartete Reaktion: </w:t>
      </w:r>
      <w:r>
        <w:rPr>
          <w:rFonts w:ascii="Calibri" w:hAnsi="Calibri"/>
          <w:b w:val="0"/>
          <w:color w:val="1F2A2A"/>
        </w:rPr>
        <w:t>Die Teilnehmenden erkennen Überschneidungen moderner Anwendungen, benennen aber als Kernunterschied „finden“, „festen Regeln folgen“ und „plausible Inhalte erzeugen“; als letzten Schritt nennen sie die menschliche Prüfung.</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Beenden Sie technische Detailfragen zu Trainingsdaten oder Modellarchitektur nach einer kurzen Einordnung; verweisen Sie auf den vereinfachten Anwendungsfokus.</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„Das Modell durchsucht bei jeder Antwort automatisch das aktuelle Internet.“ Korrektur: Aktualität und Quellenzugriff hängen von der konkreten Anwendung und Funktion ab und müssen geprüft werden.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Leiten Sie aus Produktnamen keine Aussage über Datenschutz, Sicherheit oder Freigabe ab und bewerten Sie keinen Anbieter verbindlich.</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Sortieren Sie vorbereitete Karten mit Beispielen unter die Überschriften „findet“, „folgt Regeln“ und „erzeugt“; bauen Sie das Funktionsmodell an einer Pinnwand auf.</w:t>
      </w:r>
    </w:p>
    <w:p>
      <w:pPr>
        <w:pStyle w:val="Heading2"/>
      </w:pPr>
      <w:r>
        <w:t>Folienfolge</w:t>
      </w:r>
    </w:p>
    <w:p>
      <w:pPr>
        <w:pStyle w:val="MHChecklist"/>
        <w:numPr>
          <w:ilvl w:val="0"/>
          <w:numId w:val="12"/>
        </w:numPr>
      </w:pPr>
      <w:r>
        <w:rPr>
          <w:rFonts w:ascii="Calibri" w:hAnsi="Calibri"/>
          <w:b w:val="0"/>
          <w:color w:val="1F2A2A"/>
          <w:sz w:val="19"/>
        </w:rPr>
        <w:t>Folie 06: Trainingsgegenstand eingrenzen.</w:t>
      </w:r>
    </w:p>
    <w:p>
      <w:pPr>
        <w:pStyle w:val="MHChecklist"/>
        <w:numPr>
          <w:ilvl w:val="0"/>
          <w:numId w:val="12"/>
        </w:numPr>
      </w:pPr>
      <w:r>
        <w:rPr>
          <w:rFonts w:ascii="Calibri" w:hAnsi="Calibri"/>
          <w:b w:val="0"/>
          <w:color w:val="1F2A2A"/>
          <w:sz w:val="19"/>
        </w:rPr>
        <w:t>Folie 07: Drei Werkzeugarten anhand der Beispiele unterscheiden.</w:t>
      </w:r>
    </w:p>
    <w:p>
      <w:pPr>
        <w:pStyle w:val="MHChecklist"/>
        <w:numPr>
          <w:ilvl w:val="0"/>
          <w:numId w:val="12"/>
        </w:numPr>
      </w:pPr>
      <w:r>
        <w:rPr>
          <w:rFonts w:ascii="Calibri" w:hAnsi="Calibri"/>
          <w:b w:val="0"/>
          <w:color w:val="1F2A2A"/>
          <w:sz w:val="19"/>
        </w:rPr>
        <w:t>Folie 08: Funktionsmodell erklären und plausible Ausgabe von Wahrheit trennen.</w:t>
      </w:r>
    </w:p>
    <w:p>
      <w:pPr>
        <w:pStyle w:val="MHChecklist"/>
        <w:numPr>
          <w:ilvl w:val="0"/>
          <w:numId w:val="12"/>
        </w:numPr>
      </w:pPr>
      <w:r>
        <w:rPr>
          <w:rFonts w:ascii="Calibri" w:hAnsi="Calibri"/>
          <w:b w:val="0"/>
          <w:color w:val="1F2A2A"/>
          <w:sz w:val="19"/>
        </w:rPr>
        <w:t>Folie 09: Modell, Anwendung, Kontotyp und Einstellungen auseinanderhalten.</w:t>
      </w:r>
    </w:p>
    <w:p>
      <w:pPr>
        <w:pStyle w:val="Heading1"/>
        <w:pageBreakBefore/>
      </w:pPr>
      <w:r>
        <w:t>Modul 3 – Möglichkeiten und Grenzen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25 Minuten  ·  Folien: 10–17</w:t>
            </w:r>
          </w:p>
        </w:tc>
      </w:tr>
    </w:tbl>
    <w:p>
      <w:pPr>
        <w:spacing w:after="40"/>
      </w:pPr>
    </w:p>
    <w:p>
      <w:pPr/>
      <w:r>
        <w:rPr>
          <w:rFonts w:ascii="Calibri" w:hAnsi="Calibri"/>
          <w:b/>
          <w:color w:val="163F9E"/>
        </w:rPr>
        <w:t xml:space="preserve">Lernziel: </w:t>
      </w:r>
      <w:r>
        <w:rPr>
          <w:rFonts w:ascii="Calibri" w:hAnsi="Calibri"/>
          <w:b w:val="0"/>
          <w:color w:val="1F2A2A"/>
        </w:rPr>
        <w:t>Die Teilnehmenden benennen geeignete Basisaufgaben, typische Risiken und ordnen drei synthetische Fälle nachvollziehbar ein.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„Generative KI ist oft hilfreich, wenn wir Ideen variieren, Texte strukturieren, freigegebenes Material zusammenfassen, Checklisten entwerfen, Informationen extrahieren oder Gespräche vorbereiten. Sie kann dabei überzeugend formulieren und trotzdem falsche Fakten, veraltete Angaben, erfundene Quellen, Verzerrungen oder fehlenden Kontext liefern. Deshalb fragen wir bei jedem Fall: Welche Daten gehen hinein, wie groß wäre die Wirkung eines Fehlers und wer prüft das Ergebnis?“</w:t>
            </w:r>
          </w:p>
        </w:tc>
      </w:tr>
    </w:tbl>
    <w:p>
      <w:pPr>
        <w:spacing w:after="40"/>
      </w:pPr>
    </w:p>
    <w:p>
      <w:pPr/>
      <w:r>
        <w:rPr>
          <w:rFonts w:ascii="Calibri" w:hAnsi="Calibri"/>
          <w:b/>
          <w:color w:val="163F9E"/>
        </w:rPr>
        <w:t xml:space="preserve">Interaktion: </w:t>
      </w:r>
      <w:r>
        <w:rPr>
          <w:rFonts w:ascii="Calibri" w:hAnsi="Calibri"/>
          <w:b w:val="0"/>
          <w:color w:val="1F2A2A"/>
        </w:rPr>
        <w:t>Zeigen Sie drei Karten: eine Agenda aus erfundenen Notizen, einen externen Kundenentwurf aus synthetischem Material und eine automatisierte Beschäftigtenbewertung. Die Gruppe ordnet „geeignet“, „nur mit Kontrolle“ oder „nicht im Basistraining“ zu und nennt je einen Grund. Demonstrieren Sie danach eine vorbereitete überzeugende, aber falsche Antwort und markieren Sie gemeinsam Fehler und Annahmen.</w:t>
      </w:r>
    </w:p>
    <w:p>
      <w:pPr/>
      <w:r>
        <w:rPr>
          <w:rFonts w:ascii="Calibri" w:hAnsi="Calibri"/>
          <w:b/>
          <w:color w:val="163F9E"/>
        </w:rPr>
        <w:t xml:space="preserve">Erwartete Reaktion: </w:t>
      </w:r>
      <w:r>
        <w:rPr>
          <w:rFonts w:ascii="Calibri" w:hAnsi="Calibri"/>
          <w:b w:val="0"/>
          <w:color w:val="1F2A2A"/>
        </w:rPr>
        <w:t>Agenda: grundsätzlich geeignet im freigegebenen Werkzeug; Kundenentwurf: nur mit fachlicher Kontrolle und Freigabe; Beschäftigtenbewertung: nicht als Basisübung. Die Gruppe erkennt, dass Stil keine Richtigkeit beweist.</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Begrenzen Sie die Falldiskussion auf je eine Begründung zu Daten, Wirkung und Kontrolle; die Fehlerdemonstration muss noch sichtbar aufgelöst werden.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eine Antwort professionell klingt und Quellen nennt, kann ich sie übernehmen.“ Korrektur: Fakten, Existenz und Aussage der Originalquelle, Aktualität und Kontext müssen unabhängig geprüft werden.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Nutzen Sie ausschließlich vorbereitete synthetische Fälle. Keine reale Person wird bewertet; keine fremden Texte, vertraulichen Sachverhalte oder Sicherheitsinformationen werden live eingegeben.</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Verwenden Sie ausgedruckte Fallkarten und zwei Versionen der falschen Beispielantwort – einmal unmarkiert, einmal mit Auflösung.</w:t>
      </w:r>
    </w:p>
    <w:p>
      <w:pPr>
        <w:pStyle w:val="Heading2"/>
      </w:pPr>
      <w:r>
        <w:t>Folienfolge</w:t>
      </w:r>
    </w:p>
    <w:p>
      <w:pPr>
        <w:pStyle w:val="MHChecklist"/>
        <w:numPr>
          <w:ilvl w:val="0"/>
          <w:numId w:val="13"/>
        </w:numPr>
      </w:pPr>
      <w:r>
        <w:rPr>
          <w:rFonts w:ascii="Calibri" w:hAnsi="Calibri"/>
          <w:b w:val="0"/>
          <w:color w:val="1F2A2A"/>
          <w:sz w:val="19"/>
        </w:rPr>
        <w:t>Folie 10: Sechs sinnvolle Aufgabenarten mit je einem Kurzbeispiel erläutern.</w:t>
      </w:r>
    </w:p>
    <w:p>
      <w:pPr>
        <w:pStyle w:val="MHChecklist"/>
        <w:numPr>
          <w:ilvl w:val="0"/>
          <w:numId w:val="13"/>
        </w:numPr>
      </w:pPr>
      <w:r>
        <w:rPr>
          <w:rFonts w:ascii="Calibri" w:hAnsi="Calibri"/>
          <w:b w:val="0"/>
          <w:color w:val="1F2A2A"/>
          <w:sz w:val="19"/>
        </w:rPr>
        <w:t>Folien 11–12: Eignung und Risiken über Daten, Wirkung und Kontrolle verbinden.</w:t>
      </w:r>
    </w:p>
    <w:p>
      <w:pPr>
        <w:pStyle w:val="MHChecklist"/>
        <w:numPr>
          <w:ilvl w:val="0"/>
          <w:numId w:val="13"/>
        </w:numPr>
      </w:pPr>
      <w:r>
        <w:rPr>
          <w:rFonts w:ascii="Calibri" w:hAnsi="Calibri"/>
          <w:b w:val="0"/>
          <w:color w:val="1F2A2A"/>
          <w:sz w:val="19"/>
        </w:rPr>
        <w:t>Folie 13: Synthetische Falschantwort erst wirken lassen, dann auflösen.</w:t>
      </w:r>
    </w:p>
    <w:p>
      <w:pPr>
        <w:pStyle w:val="MHChecklist"/>
        <w:numPr>
          <w:ilvl w:val="0"/>
          <w:numId w:val="13"/>
        </w:numPr>
      </w:pPr>
      <w:r>
        <w:rPr>
          <w:rFonts w:ascii="Calibri" w:hAnsi="Calibri"/>
          <w:b w:val="0"/>
          <w:color w:val="1F2A2A"/>
          <w:sz w:val="19"/>
        </w:rPr>
        <w:t>Folien 14–16: Quellen, Aktualität, Verzerrung, Kontext und Rechte prüfen.</w:t>
      </w:r>
    </w:p>
    <w:p>
      <w:pPr>
        <w:pStyle w:val="MHChecklist"/>
        <w:numPr>
          <w:ilvl w:val="0"/>
          <w:numId w:val="13"/>
        </w:numPr>
      </w:pPr>
      <w:r>
        <w:rPr>
          <w:rFonts w:ascii="Calibri" w:hAnsi="Calibri"/>
          <w:b w:val="0"/>
          <w:color w:val="1F2A2A"/>
          <w:sz w:val="19"/>
        </w:rPr>
        <w:t>Folie 17: Drei Aufgaben einordnen und Entscheidungen begründen lassen.</w:t>
      </w:r>
    </w:p>
    <w:p>
      <w:pPr>
        <w:pStyle w:val="Heading1"/>
        <w:pageBreakBefore/>
      </w:pPr>
      <w:r>
        <w:t>Modul 4 – Gute Prompts</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25 Minuten  ·  Folien: 18–22</w:t>
            </w:r>
          </w:p>
        </w:tc>
      </w:tr>
    </w:tbl>
    <w:p>
      <w:pPr>
        <w:spacing w:after="40"/>
      </w:pPr>
    </w:p>
    <w:p>
      <w:pPr/>
      <w:r>
        <w:rPr>
          <w:rFonts w:ascii="Calibri" w:hAnsi="Calibri"/>
          <w:b/>
          <w:color w:val="163F9E"/>
        </w:rPr>
        <w:t xml:space="preserve">Lernziel: </w:t>
      </w:r>
      <w:r>
        <w:rPr>
          <w:rFonts w:ascii="Calibri" w:hAnsi="Calibri"/>
          <w:b w:val="0"/>
          <w:color w:val="1F2A2A"/>
        </w:rPr>
        <w:t>Die Teilnehmenden verbessern einen schwachen Prompt mit Aufgabe, Kontext, Material, Anforderungen, Ausgabeformat und Prüfkriterien; Fortgeschrittene nutzen eine zweite Kritikschleife.</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 xml:space="preserve">„Ein guter Prompt ist ein klarer Arbeitsauftrag, keine Zauberformel. Unsere sechs Bausteine sind: erstens Aufgabe, zweitens Kontext, drittens Material, viertens Anforderungen, fünftens Ausgabeformat und sechstens Prüfkriterien. Die Vorlage lautet: Erstelle </w:t>
            </w:r>
            <w:r>
              <w:rPr>
                <w:rFonts w:ascii="Calibri" w:hAnsi="Calibri"/>
                <w:b/>
                <w:color w:val="1F2A2A"/>
                <w:sz w:val="21"/>
              </w:rPr>
              <w:t>[Ergebnis]</w:t>
            </w:r>
            <w:r>
              <w:rPr>
                <w:rFonts w:ascii="Calibri" w:hAnsi="Calibri"/>
                <w:b w:val="0"/>
                <w:color w:val="1F2A2A"/>
                <w:sz w:val="21"/>
              </w:rPr>
              <w:t xml:space="preserve"> für </w:t>
            </w:r>
            <w:r>
              <w:rPr>
                <w:rFonts w:ascii="Calibri" w:hAnsi="Calibri"/>
                <w:b/>
                <w:color w:val="1F2A2A"/>
                <w:sz w:val="21"/>
              </w:rPr>
              <w:t>[Zielgruppe/Zweck]</w:t>
            </w:r>
            <w:r>
              <w:rPr>
                <w:rFonts w:ascii="Calibri" w:hAnsi="Calibri"/>
                <w:b w:val="0"/>
                <w:color w:val="1F2A2A"/>
                <w:sz w:val="21"/>
              </w:rPr>
              <w:t xml:space="preserve">. Nutze ausschließlich </w:t>
            </w:r>
            <w:r>
              <w:rPr>
                <w:rFonts w:ascii="Calibri" w:hAnsi="Calibri"/>
                <w:b/>
                <w:color w:val="1F2A2A"/>
                <w:sz w:val="21"/>
              </w:rPr>
              <w:t>[freigegebenes Material]</w:t>
            </w:r>
            <w:r>
              <w:rPr>
                <w:rFonts w:ascii="Calibri" w:hAnsi="Calibri"/>
                <w:b w:val="0"/>
                <w:color w:val="1F2A2A"/>
                <w:sz w:val="21"/>
              </w:rPr>
              <w:t xml:space="preserve">. Beachte </w:t>
            </w:r>
            <w:r>
              <w:rPr>
                <w:rFonts w:ascii="Calibri" w:hAnsi="Calibri"/>
                <w:b/>
                <w:color w:val="1F2A2A"/>
                <w:sz w:val="21"/>
              </w:rPr>
              <w:t>[Anforderungen und Grenzen]</w:t>
            </w:r>
            <w:r>
              <w:rPr>
                <w:rFonts w:ascii="Calibri" w:hAnsi="Calibri"/>
                <w:b w:val="0"/>
                <w:color w:val="1F2A2A"/>
                <w:sz w:val="21"/>
              </w:rPr>
              <w:t xml:space="preserve">. Gib das Ergebnis als </w:t>
            </w:r>
            <w:r>
              <w:rPr>
                <w:rFonts w:ascii="Calibri" w:hAnsi="Calibri"/>
                <w:b/>
                <w:color w:val="1F2A2A"/>
                <w:sz w:val="21"/>
              </w:rPr>
              <w:t>[Format]</w:t>
            </w:r>
            <w:r>
              <w:rPr>
                <w:rFonts w:ascii="Calibri" w:hAnsi="Calibri"/>
                <w:b w:val="0"/>
                <w:color w:val="1F2A2A"/>
                <w:sz w:val="21"/>
              </w:rPr>
              <w:t xml:space="preserve"> aus. Kennzeichne Unsicherheiten und nenne, welche Punkte vor der Verwendung geprüft werden müssen. Auch ein guter Prompt garantiert kein richtiges Ergebnis.“</w:t>
            </w:r>
          </w:p>
        </w:tc>
      </w:tr>
    </w:tbl>
    <w:p>
      <w:pPr>
        <w:spacing w:after="40"/>
      </w:pPr>
    </w:p>
    <w:p>
      <w:pPr/>
      <w:r>
        <w:rPr>
          <w:rFonts w:ascii="Calibri" w:hAnsi="Calibri"/>
          <w:b/>
          <w:color w:val="163F9E"/>
        </w:rPr>
        <w:t xml:space="preserve">Interaktion: </w:t>
      </w:r>
      <w:r>
        <w:rPr>
          <w:rFonts w:ascii="Calibri" w:hAnsi="Calibri"/>
          <w:b w:val="0"/>
          <w:color w:val="1F2A2A"/>
        </w:rPr>
        <w:t>Paare verbessern den Prompt „Schreib eine Antwort an den Kunden“ für eine synthetische Anfrage. Basisgruppen füllen die sechs Felder. Fortgeschrittene prüfen eine vorbereitete Ausgabe selbst, fordern anschließend Kritik an und entscheiden, welche Verbesserungen sie übernehmen.</w:t>
      </w:r>
    </w:p>
    <w:p>
      <w:pPr/>
      <w:r>
        <w:rPr>
          <w:rFonts w:ascii="Calibri" w:hAnsi="Calibri"/>
          <w:b/>
          <w:color w:val="163F9E"/>
        </w:rPr>
        <w:t xml:space="preserve">Erwartete Reaktion: </w:t>
      </w:r>
      <w:r>
        <w:rPr>
          <w:rFonts w:ascii="Calibri" w:hAnsi="Calibri"/>
          <w:b w:val="0"/>
          <w:color w:val="1F2A2A"/>
        </w:rPr>
        <w:t>Die Prompts nennen ein konkretes Ergebnis, Zielgruppe und Zweck, ausschließlich freigegebenes Material, Ton und Grenzen, ein Format sowie Prüfkriterien. Fortgeschrittene behandeln die KI-Kritik als Hinweis, nicht als Freigabe.</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Stoppen Sie die Formulierung, sobald alle sechs Bausteine belastbar gefüllt sind; lassen Sie nur ein Basis- und ein Fortgeschrittenenbeispiel kurz vorstellen.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„Je länger der Prompt, desto besser die Antwort.“ Korrektur: Entscheidend sind Relevanz, Klarheit, zulässiges Material und prüfbare Anforderungen, nicht Textmenge.</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Es wird ausschließlich die ausgegebene synthetische Kundenanfrage verwendet. Niemand ersetzt Platzhalter spontan durch echte Namen, Vorgänge oder interne Angaben.</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Arbeiten Sie mit ausgedruckter Promptvorlage, Beispielausgabe und Kritikversion; die Gruppe markiert die sechs Bausteine farbig.</w:t>
      </w:r>
    </w:p>
    <w:p>
      <w:pPr>
        <w:pStyle w:val="Heading2"/>
      </w:pPr>
      <w:r>
        <w:t>Folienfolge</w:t>
      </w:r>
    </w:p>
    <w:p>
      <w:pPr>
        <w:pStyle w:val="MHChecklist"/>
        <w:numPr>
          <w:ilvl w:val="0"/>
          <w:numId w:val="14"/>
        </w:numPr>
      </w:pPr>
      <w:r>
        <w:rPr>
          <w:rFonts w:ascii="Calibri" w:hAnsi="Calibri"/>
          <w:b w:val="0"/>
          <w:color w:val="1F2A2A"/>
          <w:sz w:val="19"/>
        </w:rPr>
        <w:t>Folie 18: Prompt als Arbeitsauftrag einordnen.</w:t>
      </w:r>
    </w:p>
    <w:p>
      <w:pPr>
        <w:pStyle w:val="MHChecklist"/>
        <w:numPr>
          <w:ilvl w:val="0"/>
          <w:numId w:val="14"/>
        </w:numPr>
      </w:pPr>
      <w:r>
        <w:rPr>
          <w:rFonts w:ascii="Calibri" w:hAnsi="Calibri"/>
          <w:b w:val="0"/>
          <w:color w:val="1F2A2A"/>
          <w:sz w:val="19"/>
        </w:rPr>
        <w:t>Folie 19: Schwachen und strukturierten Prompt samt Ausgabe vergleichen.</w:t>
      </w:r>
    </w:p>
    <w:p>
      <w:pPr>
        <w:pStyle w:val="MHChecklist"/>
        <w:numPr>
          <w:ilvl w:val="0"/>
          <w:numId w:val="14"/>
        </w:numPr>
      </w:pPr>
      <w:r>
        <w:rPr>
          <w:rFonts w:ascii="Calibri" w:hAnsi="Calibri"/>
          <w:b w:val="0"/>
          <w:color w:val="1F2A2A"/>
          <w:sz w:val="19"/>
        </w:rPr>
        <w:t>Folie 20: Sechs Bausteine und verbindliche Vorlage erklären.</w:t>
      </w:r>
    </w:p>
    <w:p>
      <w:pPr>
        <w:pStyle w:val="MHChecklist"/>
        <w:numPr>
          <w:ilvl w:val="0"/>
          <w:numId w:val="14"/>
        </w:numPr>
      </w:pPr>
      <w:r>
        <w:rPr>
          <w:rFonts w:ascii="Calibri" w:hAnsi="Calibri"/>
          <w:b w:val="0"/>
          <w:color w:val="1F2A2A"/>
          <w:sz w:val="19"/>
        </w:rPr>
        <w:t>Folie 21: Basisübung in Paaren durchführen.</w:t>
      </w:r>
    </w:p>
    <w:p>
      <w:pPr>
        <w:pStyle w:val="MHChecklist"/>
        <w:numPr>
          <w:ilvl w:val="0"/>
          <w:numId w:val="14"/>
        </w:numPr>
      </w:pPr>
      <w:r>
        <w:rPr>
          <w:rFonts w:ascii="Calibri" w:hAnsi="Calibri"/>
          <w:b w:val="0"/>
          <w:color w:val="1F2A2A"/>
          <w:sz w:val="19"/>
        </w:rPr>
        <w:t>Folie 22: Fortgeschrittene Kritikschleife zeigen und menschliche Auswahl betonen.</w:t>
      </w:r>
    </w:p>
    <w:p>
      <w:pPr>
        <w:pStyle w:val="Heading1"/>
        <w:pageBreakBefore/>
      </w:pPr>
      <w:r>
        <w:t>Pause – 10 Minuten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Folie 23 bleibt sichtbar. Die genaue Wiedereinstiegszeit wird mündlich genannt.</w:t>
            </w:r>
          </w:p>
        </w:tc>
      </w:tr>
    </w:tbl>
    <w:p>
      <w:pPr>
        <w:spacing w:after="40"/>
      </w:pPr>
    </w:p>
    <w:p>
      <w:pPr>
        <w:numPr>
          <w:ilvl w:val="0"/>
          <w:numId w:val="15"/>
        </w:numPr>
      </w:pPr>
      <w:r>
        <w:rPr>
          <w:rFonts w:ascii="Calibri" w:hAnsi="Calibri"/>
          <w:b w:val="0"/>
          <w:color w:val="1F2A2A"/>
        </w:rPr>
        <w:t>Freigegebenes Werkzeug und Konto für die Praxisphase erneut prüfen.</w:t>
      </w:r>
    </w:p>
    <w:p>
      <w:pPr>
        <w:numPr>
          <w:ilvl w:val="0"/>
          <w:numId w:val="15"/>
        </w:numPr>
      </w:pPr>
      <w:r>
        <w:rPr>
          <w:rFonts w:ascii="Calibri" w:hAnsi="Calibri"/>
          <w:b w:val="0"/>
          <w:color w:val="1F2A2A"/>
        </w:rPr>
        <w:t>Ausgewählte synthetische Fallmappe, Beispielausgabe und Arbeitsblätter bereitlegen.</w:t>
      </w:r>
    </w:p>
    <w:p>
      <w:pPr>
        <w:numPr>
          <w:ilvl w:val="0"/>
          <w:numId w:val="15"/>
        </w:numPr>
      </w:pPr>
      <w:r>
        <w:rPr>
          <w:rFonts w:ascii="Calibri" w:hAnsi="Calibri"/>
          <w:b w:val="0"/>
          <w:color w:val="1F2A2A"/>
        </w:rPr>
        <w:t>Keine Kundendokumente öffnen, übernehmen oder spontan anonymisieren.</w:t>
      </w:r>
    </w:p>
    <w:p>
      <w:pPr>
        <w:numPr>
          <w:ilvl w:val="0"/>
          <w:numId w:val="15"/>
        </w:numPr>
      </w:pPr>
      <w:r>
        <w:rPr>
          <w:rFonts w:ascii="Calibri" w:hAnsi="Calibri"/>
          <w:b w:val="0"/>
          <w:color w:val="1F2A2A"/>
        </w:rPr>
        <w:t>Offene Safety-Fragen markieren; ungeklärte Fälle bleiben offline und synthetisch.</w:t>
      </w:r>
    </w:p>
    <w:p>
      <w:pPr>
        <w:numPr>
          <w:ilvl w:val="0"/>
          <w:numId w:val="15"/>
        </w:numPr>
      </w:pPr>
      <w:r>
        <w:rPr>
          <w:rFonts w:ascii="Calibri" w:hAnsi="Calibri"/>
          <w:b w:val="0"/>
          <w:color w:val="1F2A2A"/>
        </w:rPr>
        <w:t>Zwei Minuten vor Ende Wiedereinstieg ankündigen.</w:t>
      </w:r>
    </w:p>
    <w:p>
      <w:pPr>
        <w:pStyle w:val="Heading1"/>
        <w:pageBreakBefore/>
      </w:pPr>
      <w:r>
        <w:t>Modul 5 – Sicherer und verantwortungsvoller Einsatz</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30 Minuten  ·  Folien: 24–32</w:t>
            </w:r>
          </w:p>
        </w:tc>
      </w:tr>
    </w:tbl>
    <w:p>
      <w:pPr>
        <w:spacing w:after="40"/>
      </w:pPr>
    </w:p>
    <w:p>
      <w:pPr/>
      <w:r>
        <w:rPr>
          <w:rFonts w:ascii="Calibri" w:hAnsi="Calibri"/>
          <w:b/>
          <w:color w:val="163F9E"/>
        </w:rPr>
        <w:t xml:space="preserve">Lernziel: </w:t>
      </w:r>
      <w:r>
        <w:rPr>
          <w:rFonts w:ascii="Calibri" w:hAnsi="Calibri"/>
          <w:b w:val="0"/>
          <w:color w:val="1F2A2A"/>
        </w:rPr>
        <w:t>Die Teilnehmenden wenden die Datenampel an, erkennen besonders folgenreiche Fälle und benennen menschliche Prüf-, Freigabe- und Eskalationsrollen.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„Verantwortung bleibt beim Menschen. Wir nutzen nur freigegebene Werkzeuge und Unternehmenskonten. Vor jeder Eingabe gilt die Datenampel: Grün ist im freigegebenen Werkzeug grundsätzlich nutzbar, Gelb wird nicht eingegeben, sondern zuerst intern geprüft und freigegeben, und Rot wird im Basistraining niemals eingegeben. Je größer die mögliche Wirkung eines Fehlers, desto stärker muss die menschliche Prüfung sein – bis hin zum vollständigen Verzicht auf den KI-Einsatz. Unsichere, sensible oder ungewöhnliche Fälle stoppen wir und geben sie an die benannte interne Stelle.“</w:t>
            </w:r>
          </w:p>
        </w:tc>
      </w:tr>
    </w:tbl>
    <w:p>
      <w:pPr>
        <w:spacing w:after="40"/>
      </w:pPr>
    </w:p>
    <w:p>
      <w:pPr/>
      <w:r>
        <w:rPr>
          <w:rFonts w:ascii="Calibri" w:hAnsi="Calibri"/>
          <w:b/>
          <w:color w:val="163F9E"/>
        </w:rPr>
        <w:t xml:space="preserve">Interaktion: </w:t>
      </w:r>
      <w:r>
        <w:rPr>
          <w:rFonts w:ascii="Calibri" w:hAnsi="Calibri"/>
          <w:b w:val="0"/>
          <w:color w:val="1F2A2A"/>
        </w:rPr>
        <w:t>Sortieren Sie sechs vorbereitete Datenkarten gemeinsam in Grün, Gelb und Rot. Lassen Sie die Gruppe danach für einen externen Textentwurf Rollen für Erstellung, Fachprüfung, Freigabe und Eskalation eintragen. Wiederholen Sie die fünf Regeln als Satzanfänge, die die Gruppe vervollständigt.</w:t>
      </w:r>
    </w:p>
    <w:p>
      <w:pPr/>
      <w:r>
        <w:rPr>
          <w:rFonts w:ascii="Calibri" w:hAnsi="Calibri"/>
          <w:b/>
          <w:color w:val="163F9E"/>
        </w:rPr>
        <w:t xml:space="preserve">Erwartete Reaktion: </w:t>
      </w:r>
      <w:r>
        <w:rPr>
          <w:rFonts w:ascii="Calibri" w:hAnsi="Calibri"/>
          <w:b w:val="0"/>
          <w:color w:val="1F2A2A"/>
        </w:rPr>
        <w:t>Synthetische und rechtmäßig veröffentlichte Daten werden mit Werkzeug- und Zweckvorbehalt grün eingeordnet; interne, pseudonymisierte oder rechtlich unklare Inhalte gelb; Zugangsdaten, Geheimnisse, sensible Personen- und Sicherheitsdaten rot. Folgenreiche Personen- oder Sicherheitsentscheidungen werden gestoppt.</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Nach der Datenampel keine Einzelfallberatung eröffnen. Ungeklärte Kundenfälle schriftlich als Nachgangspunkt an die zuständige interne Fachstelle markieren und zum Rollenweg wechseln.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„Gelb heißt, ich darf die Daten vorsichtig oder gekürzt eingeben.“ Korrektur: Gelb heißt vorher zuständige Person, Zweck, Daten und zulässiges Werkzeug klären; im Training wird synthetisch ersetzt.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Der AI Act dient nur als Orientierungsrahmen für Verständnis, Rollen, Nutzungskontext, Risiken und betroffene Personen. MyHiwi trifft keine rechtliche Einzelfallbewertung, zertifiziert nichts und legt keine Kundentools oder Zuständigkeiten eigenständig fest.</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Nutzen Sie laminierte Ampelkarten, Rollenkarten und die einseitige KI-Nutzungsregel; Entscheidungen werden auf einem Flipchart dokumentiert.</w:t>
      </w:r>
    </w:p>
    <w:p>
      <w:pPr>
        <w:pStyle w:val="Heading2"/>
      </w:pPr>
      <w:r>
        <w:t>Folienfolge</w:t>
      </w:r>
    </w:p>
    <w:p>
      <w:pPr>
        <w:pStyle w:val="MHChecklist"/>
        <w:numPr>
          <w:ilvl w:val="0"/>
          <w:numId w:val="16"/>
        </w:numPr>
      </w:pPr>
      <w:r>
        <w:rPr>
          <w:rFonts w:ascii="Calibri" w:hAnsi="Calibri"/>
          <w:b w:val="0"/>
          <w:color w:val="1F2A2A"/>
          <w:sz w:val="19"/>
        </w:rPr>
        <w:t>Folie 24: Menschliche Verantwortung und Wirkungsmaßstab erklären.</w:t>
      </w:r>
    </w:p>
    <w:p>
      <w:pPr>
        <w:pStyle w:val="MHChecklist"/>
        <w:numPr>
          <w:ilvl w:val="0"/>
          <w:numId w:val="16"/>
        </w:numPr>
      </w:pPr>
      <w:r>
        <w:rPr>
          <w:rFonts w:ascii="Calibri" w:hAnsi="Calibri"/>
          <w:b w:val="0"/>
          <w:color w:val="1F2A2A"/>
          <w:sz w:val="19"/>
        </w:rPr>
        <w:t>Folie 25: Werkzeug, Konto, Zweck, Einstellungen und Freigabe trennen.</w:t>
      </w:r>
    </w:p>
    <w:p>
      <w:pPr>
        <w:pStyle w:val="MHChecklist"/>
        <w:numPr>
          <w:ilvl w:val="0"/>
          <w:numId w:val="16"/>
        </w:numPr>
      </w:pPr>
      <w:r>
        <w:rPr>
          <w:rFonts w:ascii="Calibri" w:hAnsi="Calibri"/>
          <w:b w:val="0"/>
          <w:color w:val="1F2A2A"/>
          <w:sz w:val="19"/>
        </w:rPr>
        <w:t>Folien 26–29: Datenampel erklären und sechs Karten sortieren.</w:t>
      </w:r>
    </w:p>
    <w:p>
      <w:pPr>
        <w:pStyle w:val="MHChecklist"/>
        <w:numPr>
          <w:ilvl w:val="0"/>
          <w:numId w:val="16"/>
        </w:numPr>
      </w:pPr>
      <w:r>
        <w:rPr>
          <w:rFonts w:ascii="Calibri" w:hAnsi="Calibri"/>
          <w:b w:val="0"/>
          <w:color w:val="1F2A2A"/>
          <w:sz w:val="19"/>
        </w:rPr>
        <w:t>Folie 30: Folgenreiche Fälle über Personal, Gesundheit, Finanzen, Leistungen und Sicherheit erkennen.</w:t>
      </w:r>
    </w:p>
    <w:p>
      <w:pPr>
        <w:pStyle w:val="MHChecklist"/>
        <w:numPr>
          <w:ilvl w:val="0"/>
          <w:numId w:val="16"/>
        </w:numPr>
      </w:pPr>
      <w:r>
        <w:rPr>
          <w:rFonts w:ascii="Calibri" w:hAnsi="Calibri"/>
          <w:b w:val="0"/>
          <w:color w:val="1F2A2A"/>
          <w:sz w:val="19"/>
        </w:rPr>
        <w:t>Folie 31: Prüf-, Freigabe- und Eskalationsweg festlegen.</w:t>
      </w:r>
    </w:p>
    <w:p>
      <w:pPr>
        <w:pStyle w:val="MHChecklist"/>
        <w:numPr>
          <w:ilvl w:val="0"/>
          <w:numId w:val="16"/>
        </w:numPr>
      </w:pPr>
      <w:r>
        <w:rPr>
          <w:rFonts w:ascii="Calibri" w:hAnsi="Calibri"/>
          <w:b w:val="0"/>
          <w:color w:val="1F2A2A"/>
          <w:sz w:val="19"/>
        </w:rPr>
        <w:t>Folie 32: Fünf Regeln gemeinsam vervollständigen.</w:t>
      </w:r>
    </w:p>
    <w:p>
      <w:pPr>
        <w:pStyle w:val="Heading1"/>
        <w:pageBreakBefore/>
      </w:pPr>
      <w:r>
        <w:t>Modul 6 – Unternehmensbezogene Praxisübung</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30 Minuten  ·  Folien: 33–37</w:t>
            </w:r>
          </w:p>
        </w:tc>
      </w:tr>
    </w:tbl>
    <w:p>
      <w:pPr>
        <w:spacing w:after="40"/>
      </w:pPr>
    </w:p>
    <w:p>
      <w:pPr/>
      <w:r>
        <w:rPr>
          <w:rFonts w:ascii="Calibri" w:hAnsi="Calibri"/>
          <w:b/>
          <w:color w:val="163F9E"/>
        </w:rPr>
        <w:t xml:space="preserve">Lernziel: </w:t>
      </w:r>
      <w:r>
        <w:rPr>
          <w:rFonts w:ascii="Calibri" w:hAnsi="Calibri"/>
          <w:b w:val="0"/>
          <w:color w:val="1F2A2A"/>
        </w:rPr>
        <w:t>Die Teilnehmenden bearbeiten einen sicheren, synthetischen Branchenfall vom Ziel über Datenampel und Prompt bis zur ersten Analyse und benennen den Freigabeweg.</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„Wir bearbeiten jetzt einen vorbereiteten Fall aus Ihrem Arbeitsalltag. Der Fall ist synthetisch; reale rote Daten verwenden wir nicht und gelbe Daten sind standardmäßig synthetisch ersetzt. Unser Weg hat sieben Schritte: Aufgabe und gewünschtes Ergebnis klären, Daten mit der Ampel einordnen, Prompt mit sechs Bausteinen erstellen, Ausgabe erzeugen oder das Trainerbeispiel analysieren, Ausgabe prüfen, Ergebnis verbessern und Freigabeweg samt Verantwortlichem benennen. Bei jeder Unsicherheit stoppen wir.“</w:t>
            </w:r>
          </w:p>
        </w:tc>
      </w:tr>
    </w:tbl>
    <w:p>
      <w:pPr>
        <w:spacing w:after="40"/>
      </w:pPr>
    </w:p>
    <w:p>
      <w:pPr/>
      <w:r>
        <w:rPr>
          <w:rFonts w:ascii="Calibri" w:hAnsi="Calibri"/>
          <w:b/>
          <w:color w:val="163F9E"/>
        </w:rPr>
        <w:t xml:space="preserve">Interaktion: </w:t>
      </w:r>
      <w:r>
        <w:rPr>
          <w:rFonts w:ascii="Calibri" w:hAnsi="Calibri"/>
          <w:b w:val="0"/>
          <w:color w:val="1F2A2A"/>
        </w:rPr>
        <w:t>Kleingruppen wählen zwischen Basis- und Fortgeschrittenenstufe. Sie definieren das Ziel, sortieren das bereitgestellte Material, bauen den Prompt und analysieren die synthetische Beispielausgabe. Bei freigegebenem, funktionierendem Tool darf der vorbereitete Prompt eingegeben werden; sonst wird ausschließlich die Offline-Ausgabe verwendet.</w:t>
      </w:r>
    </w:p>
    <w:p>
      <w:pPr/>
      <w:r>
        <w:rPr>
          <w:rFonts w:ascii="Calibri" w:hAnsi="Calibri"/>
          <w:b/>
          <w:color w:val="163F9E"/>
        </w:rPr>
        <w:t xml:space="preserve">Erwartete Reaktion: </w:t>
      </w:r>
      <w:r>
        <w:rPr>
          <w:rFonts w:ascii="Calibri" w:hAnsi="Calibri"/>
          <w:b w:val="0"/>
          <w:color w:val="1F2A2A"/>
        </w:rPr>
        <w:t>Die Gruppen formulieren ein konkretes Arbeitsergebnis, nutzen nur grünes oder synthetisch ersetztes Material, füllen alle sechs Promptbausteine, markieren Stärken und Fehler der Ausgabe und benennen fachliche Prüfung sowie Freigabe.</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Wechseln Sie nach Ziel und Ampel konsequent zur Promptarbeit; stoppen Sie Tool-Experimente, sobald eine verwertbare Beispielausgabe vorliegt, damit Analyse und Freigabeweg nicht entfallen.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„Für eine realistische Übung brauchen wir das echte Kundendokument.“ Korrektur: Struktur und Lernziel lassen sich mit synthetischen Daten realistisch trainieren; echte sensible Inhalte erhöhen das Risiko, nicht den Lernerfolg.</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Vor jeder Eingabe kontrolliert die Gruppe das Material. Keine roten Live-Daten; gelbe Inhalte bleiben synthetisch. Es gibt keine automatisierte Personenentscheidung, keine sicherheitskritische Freigabe und keine ungeprüfte externe Veröffentlichung.</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Jede Fallmappe enthält Aufgabe, synthetisches Material, Beispielprompt, ungeprüfte Ausgabe und Lösungshinweise. Fällt das Tool aus, beginnt die Gruppe direkt mit der vorbereiteten Ausgabe.</w:t>
      </w:r>
    </w:p>
    <w:p>
      <w:pPr>
        <w:pStyle w:val="Heading2"/>
      </w:pPr>
      <w:r>
        <w:t>Folienfolge</w:t>
      </w:r>
    </w:p>
    <w:p>
      <w:pPr>
        <w:pStyle w:val="MHChecklist"/>
        <w:numPr>
          <w:ilvl w:val="0"/>
          <w:numId w:val="17"/>
        </w:numPr>
      </w:pPr>
      <w:r>
        <w:rPr>
          <w:rFonts w:ascii="Calibri" w:hAnsi="Calibri"/>
          <w:b w:val="0"/>
          <w:color w:val="1F2A2A"/>
          <w:sz w:val="19"/>
        </w:rPr>
        <w:t>Folie 33: Fall, Lernziel und Freigaberolle vorstellen.</w:t>
      </w:r>
    </w:p>
    <w:p>
      <w:pPr>
        <w:pStyle w:val="MHChecklist"/>
        <w:numPr>
          <w:ilvl w:val="0"/>
          <w:numId w:val="17"/>
        </w:numPr>
      </w:pPr>
      <w:r>
        <w:rPr>
          <w:rFonts w:ascii="Calibri" w:hAnsi="Calibri"/>
          <w:b w:val="0"/>
          <w:color w:val="1F2A2A"/>
          <w:sz w:val="19"/>
        </w:rPr>
        <w:t>Folie 34: Ergebnis, Zielgruppe, Zweck und Qualitätsmerkmale klären.</w:t>
      </w:r>
    </w:p>
    <w:p>
      <w:pPr>
        <w:pStyle w:val="MHChecklist"/>
        <w:numPr>
          <w:ilvl w:val="0"/>
          <w:numId w:val="17"/>
        </w:numPr>
      </w:pPr>
      <w:r>
        <w:rPr>
          <w:rFonts w:ascii="Calibri" w:hAnsi="Calibri"/>
          <w:b w:val="0"/>
          <w:color w:val="1F2A2A"/>
          <w:sz w:val="19"/>
        </w:rPr>
        <w:t>Folie 35: Material sichtbar durch die Ampel sortieren.</w:t>
      </w:r>
    </w:p>
    <w:p>
      <w:pPr>
        <w:pStyle w:val="MHChecklist"/>
        <w:numPr>
          <w:ilvl w:val="0"/>
          <w:numId w:val="17"/>
        </w:numPr>
      </w:pPr>
      <w:r>
        <w:rPr>
          <w:rFonts w:ascii="Calibri" w:hAnsi="Calibri"/>
          <w:b w:val="0"/>
          <w:color w:val="1F2A2A"/>
          <w:sz w:val="19"/>
        </w:rPr>
        <w:t>Folie 36: Sechs Promptbausteine in Gruppen formulieren.</w:t>
      </w:r>
    </w:p>
    <w:p>
      <w:pPr>
        <w:pStyle w:val="MHChecklist"/>
        <w:numPr>
          <w:ilvl w:val="0"/>
          <w:numId w:val="17"/>
        </w:numPr>
      </w:pPr>
      <w:r>
        <w:rPr>
          <w:rFonts w:ascii="Calibri" w:hAnsi="Calibri"/>
          <w:b w:val="0"/>
          <w:color w:val="1F2A2A"/>
          <w:sz w:val="19"/>
        </w:rPr>
        <w:t>Folie 37: Ausgabe als brauchbar, unklar, unbelegt, falsch, unpassend oder unvollständig markieren.</w:t>
      </w:r>
    </w:p>
    <w:p>
      <w:pPr>
        <w:pStyle w:val="Heading1"/>
        <w:pageBreakBefore/>
      </w:pPr>
      <w:r>
        <w:t>Modul 7 – Prüfen, verbessern und freigeben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15 Minuten  ·  Folien: 38</w:t>
            </w:r>
          </w:p>
        </w:tc>
      </w:tr>
    </w:tbl>
    <w:p>
      <w:pPr>
        <w:spacing w:after="40"/>
      </w:pPr>
    </w:p>
    <w:p>
      <w:pPr/>
      <w:r>
        <w:rPr>
          <w:rFonts w:ascii="Calibri" w:hAnsi="Calibri"/>
          <w:b/>
          <w:color w:val="163F9E"/>
        </w:rPr>
        <w:t xml:space="preserve">Lernziel: </w:t>
      </w:r>
      <w:r>
        <w:rPr>
          <w:rFonts w:ascii="Calibri" w:hAnsi="Calibri"/>
          <w:b w:val="0"/>
          <w:color w:val="1F2A2A"/>
        </w:rPr>
        <w:t>Die Teilnehmenden wenden die siebenstufige MyHiwi-Prüfroutine an und treffen eine begründete Entscheidung: verwenden, verbessern, verwerfen oder eskalieren.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„Vor jeder Verwendung prüfen wir sieben Punkte. Erstens Fakten: Stimmen Namen, Zahlen, Termine und Aussagen? Zweitens Quelle: Ist sie echt, aktuell und passend? Drittens Vollständigkeit: Fehlen Kontext oder Einschränkungen? Viertens Verzerrung: Ist die Ausgabe einseitig, diskriminierend oder unangemessen? Fünftens Rechte und Daten: Enthält sie sensible, vertrauliche oder möglicherweise geschützte Inhalte? Sechstens Ton und Wirkung: Passt sie zu Zielgruppe und Unternehmen? Siebtens Verantwortung: Wer prüft, entscheidet und gibt frei? Danach entscheiden wir: verwenden, verbessern, verwerfen oder eskalieren.“</w:t>
            </w:r>
          </w:p>
        </w:tc>
      </w:tr>
    </w:tbl>
    <w:p>
      <w:pPr>
        <w:spacing w:after="40"/>
      </w:pPr>
    </w:p>
    <w:p>
      <w:pPr/>
      <w:r>
        <w:rPr>
          <w:rFonts w:ascii="Calibri" w:hAnsi="Calibri"/>
          <w:b/>
          <w:color w:val="163F9E"/>
        </w:rPr>
        <w:t xml:space="preserve">Interaktion: </w:t>
      </w:r>
      <w:r>
        <w:rPr>
          <w:rFonts w:ascii="Calibri" w:hAnsi="Calibri"/>
          <w:b w:val="0"/>
          <w:color w:val="1F2A2A"/>
        </w:rPr>
        <w:t>Jede Gruppe prüft ihre Beispielausgabe mit den sieben Punkten und nennt die zwei wichtigsten Änderungen sowie den zuständigen Freigabeschritt. Eine Gruppe präsentiert, die anderen ergänzen höchstens einen übersehenen Prüfpunkt.</w:t>
      </w:r>
    </w:p>
    <w:p>
      <w:pPr/>
      <w:r>
        <w:rPr>
          <w:rFonts w:ascii="Calibri" w:hAnsi="Calibri"/>
          <w:b/>
          <w:color w:val="163F9E"/>
        </w:rPr>
        <w:t xml:space="preserve">Erwartete Reaktion: </w:t>
      </w:r>
      <w:r>
        <w:rPr>
          <w:rFonts w:ascii="Calibri" w:hAnsi="Calibri"/>
          <w:b w:val="0"/>
          <w:color w:val="1F2A2A"/>
        </w:rPr>
        <w:t>Fakten und Quellen werden nicht aus Sprachstil abgeleitet; fehlender Kontext, mögliche Verzerrung, Rechte, Daten, Ton und Rollen werden sichtbar. Die Entscheidung enthält einen menschlichen Verantwortlichen.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Begrenzen Sie die Präsentation auf zwei Änderungen und eine Freigabeentscheidung; offene Spezialfragen kommen in die Nachbesprechung.</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die KI ihre eigene Antwort geprüft hat, ist die menschliche Kontrolle erledigt.“ Korrektur: Selbstkritik des Modells ist nur ein Hinweis; fachliche Originalquellenprüfung und Freigabe bleiben menschlich.</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Eine unklare, sensible oder folgenreiche Ausgabe wird nicht veröffentlicht oder weitergegeben. Sie wird verworfen oder an die benannte Fach-, Rechts-, Datenschutz- oder Sicherheitsstelle eskaliert.</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Nutzen Sie die gedruckte Prüfroutine und markieren Sie jeden Schritt direkt auf der vorbereiteten Ausgabe.</w:t>
      </w:r>
    </w:p>
    <w:p>
      <w:pPr>
        <w:pStyle w:val="Heading1"/>
        <w:pageBreakBefore/>
      </w:pPr>
      <w:r>
        <w:t>Modul 8 – Lerncheck und nächste Schritte</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10 Minuten  ·  Folien: 39–40</w:t>
            </w:r>
          </w:p>
        </w:tc>
      </w:tr>
    </w:tbl>
    <w:p>
      <w:pPr>
        <w:spacing w:after="40"/>
      </w:pPr>
    </w:p>
    <w:p>
      <w:pPr/>
      <w:r>
        <w:rPr>
          <w:rFonts w:ascii="Calibri" w:hAnsi="Calibri"/>
          <w:b/>
          <w:color w:val="163F9E"/>
        </w:rPr>
        <w:t xml:space="preserve">Lernziel: </w:t>
      </w:r>
      <w:r>
        <w:rPr>
          <w:rFonts w:ascii="Calibri" w:hAnsi="Calibri"/>
          <w:b w:val="0"/>
          <w:color w:val="1F2A2A"/>
        </w:rPr>
        <w:t>Die Gruppe sichert Kernwissen, trägt Ansprechpartner ein und formuliert je einen kleinen, freigegebenen nächsten Anwendungsfall.</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„Zum Abschluss prüfen wir unser gemeinsames Verständnis. Der Check ist keine formale Prüfung und keine Beschäftigtenbewertung. Falsche Antworten besprechen wir sofort. Danach vervollständigen Sie drei Felder: Ihren nächsten sicheren Anwendungsfall, die fachlich prüfende Rolle und die interne Eskalationsstelle. Unsere fünf Regeln bleiben: freigegebene Werkzeuge nutzen, Datenampel vor jeder Eingabe anwenden, Ausgaben prüfen, Verantwortung beim Menschen lassen und Unsicherheit stoppen und eskalieren. Ihre Teilnahmebestätigung dokumentiert die Teilnahme; sie ist kein Kompetenzzertifikat und kein Compliance-Nachweis.“</w:t>
            </w:r>
          </w:p>
        </w:tc>
      </w:tr>
    </w:tbl>
    <w:p>
      <w:pPr>
        <w:spacing w:after="40"/>
      </w:pPr>
    </w:p>
    <w:p>
      <w:pPr/>
      <w:r>
        <w:rPr>
          <w:rFonts w:ascii="Calibri" w:hAnsi="Calibri"/>
          <w:b/>
          <w:color w:val="163F9E"/>
        </w:rPr>
        <w:t xml:space="preserve">Interaktion: </w:t>
      </w:r>
      <w:r>
        <w:rPr>
          <w:rFonts w:ascii="Calibri" w:hAnsi="Calibri"/>
          <w:b w:val="0"/>
          <w:color w:val="1F2A2A"/>
        </w:rPr>
        <w:t>Stellen Sie die zehn Fragen als schnelle Gruppenabfrage; Antworten können mündlich, per Karten oder digital erfolgen. Klären Sie Fehler direkt. Anschließend schreibt jede Person einen nächsten Fall und die zuständigen Rollen auf; schließen Sie mit einer kurzen Runde „Mein nächster sicherer Schritt“.</w:t>
      </w:r>
    </w:p>
    <w:p>
      <w:pPr/>
      <w:r>
        <w:rPr>
          <w:rFonts w:ascii="Calibri" w:hAnsi="Calibri"/>
          <w:b/>
          <w:color w:val="163F9E"/>
        </w:rPr>
        <w:t xml:space="preserve">Erwartete Reaktion: </w:t>
      </w:r>
      <w:r>
        <w:rPr>
          <w:rFonts w:ascii="Calibri" w:hAnsi="Calibri"/>
          <w:b w:val="0"/>
          <w:color w:val="1F2A2A"/>
        </w:rPr>
        <w:t>Die Gruppe nennt plausible statt automatisch wahre Ausgaben, sechs Promptbausteine, Risiken, rote und gelbe Ampelregeln, menschliche Verantwortung, Quellenprüfung, Stopp bei erheblicher Personenwirkung, betriebliche Toolfreigabe und interne Eskalation.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Fragen nur kurz beantworten lassen; bei Unsicherheit Lösung nennen und Vertiefung als Nachgang markieren. Für nächste Schritte und Ansprechpartner bleibt ein eigener Abschlussmoment.</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„Eine Teilnahmebestätigung zeigt, dass Person oder Unternehmen vollständig regelkonform arbeitet.“ Korrektur: Sie dokumentiert Inhalt, Dauer und Teilnahme, nicht individuelles Kompetenzniveau oder organisatorische Compliance.</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Lernantworten enthalten keine personenbezogenen oder vertraulichen Inhalte und werden nicht für Leistungs- oder Beschäftigtenbewertungen genutzt. MyHiwi benennt keine interne Stelle eigenständig.</w:t>
            </w:r>
          </w:p>
        </w:tc>
      </w:tr>
    </w:tbl>
    <w:p>
      <w:pPr>
        <w:spacing w:after="0" w:before="0" w:lineRule="exact" w:line="20"/>
      </w:pPr>
    </w:p>
    <w:p>
      <w:pPr>
        <w:pStyle w:val="MHCompact"/>
      </w:pPr>
      <w:r>
        <w:rPr>
          <w:rFonts w:ascii="Calibri" w:hAnsi="Calibri"/>
          <w:b/>
          <w:color w:val="163F9E"/>
          <w:sz w:val="20"/>
        </w:rPr>
        <w:t xml:space="preserve">Technik-Fallback: </w:t>
      </w:r>
      <w:r>
        <w:rPr>
          <w:rFonts w:ascii="Calibri" w:hAnsi="Calibri"/>
          <w:b w:val="0"/>
          <w:color w:val="1F2A2A"/>
          <w:sz w:val="20"/>
        </w:rPr>
        <w:t>Stellen Sie die Fragen mündlich mit Antwortkarten; nutzen Sie die gedruckte Transferseite für Anwendungsfall, Prüfung und Eskalationsstelle.</w:t>
      </w:r>
    </w:p>
    <w:p>
      <w:pPr>
        <w:pStyle w:val="Heading1"/>
        <w:pageBreakBefore/>
      </w:pPr>
      <w:r>
        <w:t>Praxisfall auswählen – sechs sichere Optionen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Auswahlweg: Ziel des Vorgesprächs prüfen → passendsten Arbeitsprozess wählen → Basis oder Fortgeschritten festlegen → ausschließlich die synthetische Fallmappe verwenden → menschlichen Prüf- und Freigabeweg vorab benennen.</w:t>
            </w:r>
          </w:p>
        </w:tc>
      </w:tr>
    </w:tbl>
    <w:p>
      <w:pPr>
        <w:spacing w:after="40"/>
      </w:pPr>
    </w:p>
    <w:p>
      <w:pPr>
        <w:pStyle w:val="Heading2"/>
      </w:pPr>
      <w:r>
        <w:t>Fall 01 · Büro und Verwaltung</w:t>
      </w:r>
    </w:p>
    <w:p>
      <w:pPr>
        <w:pStyle w:val="MHCompact"/>
      </w:pPr>
      <w:r>
        <w:rPr>
          <w:rFonts w:ascii="Calibri" w:hAnsi="Calibri"/>
          <w:b/>
          <w:color w:val="163F9E"/>
          <w:sz w:val="20"/>
        </w:rPr>
        <w:t xml:space="preserve">Geeignet, wenn: </w:t>
      </w:r>
      <w:r>
        <w:rPr>
          <w:rFonts w:ascii="Calibri" w:hAnsi="Calibri"/>
          <w:b w:val="0"/>
          <w:color w:val="1F2A2A"/>
          <w:sz w:val="20"/>
        </w:rPr>
        <w:t>Unsortierte Besprechungsnotizen in Aufgabenliste und Rückfragen überführen.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echten Protokolle oder Personenzuordnungen.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02 · Vertrieb und Kundenkommunikation</w:t>
      </w:r>
    </w:p>
    <w:p>
      <w:pPr>
        <w:pStyle w:val="MHCompact"/>
      </w:pPr>
      <w:r>
        <w:rPr>
          <w:rFonts w:ascii="Calibri" w:hAnsi="Calibri"/>
          <w:b/>
          <w:color w:val="163F9E"/>
          <w:sz w:val="20"/>
        </w:rPr>
        <w:t xml:space="preserve">Geeignet, wenn: </w:t>
      </w:r>
      <w:r>
        <w:rPr>
          <w:rFonts w:ascii="Calibri" w:hAnsi="Calibri"/>
          <w:b w:val="0"/>
          <w:color w:val="1F2A2A"/>
          <w:sz w:val="20"/>
        </w:rPr>
        <w:t>Eine synthetische Kundenanfrage strukturiert beantworten.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 echter Kunde, Preis, Vertrag oder Kontaktdatum.</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03 · Marketing und Content</w:t>
      </w:r>
    </w:p>
    <w:p>
      <w:pPr>
        <w:pStyle w:val="MHCompact"/>
      </w:pPr>
      <w:r>
        <w:rPr>
          <w:rFonts w:ascii="Calibri" w:hAnsi="Calibri"/>
          <w:b/>
          <w:color w:val="163F9E"/>
          <w:sz w:val="20"/>
        </w:rPr>
        <w:t xml:space="preserve">Geeignet, wenn: </w:t>
      </w:r>
      <w:r>
        <w:rPr>
          <w:rFonts w:ascii="Calibri" w:hAnsi="Calibri"/>
          <w:b w:val="0"/>
          <w:color w:val="1F2A2A"/>
          <w:sz w:val="20"/>
        </w:rPr>
        <w:t>Aus freigegebener Leistungsbeschreibung einen überprüfbaren Entwurf erstellen.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fremden geschützten Inhalte oder ungeprüften Leistungsversprechen.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04 · Führung und Entscheidungsvorbereitung</w:t>
      </w:r>
    </w:p>
    <w:p>
      <w:pPr>
        <w:pStyle w:val="MHCompact"/>
      </w:pPr>
      <w:r>
        <w:rPr>
          <w:rFonts w:ascii="Calibri" w:hAnsi="Calibri"/>
          <w:b/>
          <w:color w:val="163F9E"/>
          <w:sz w:val="20"/>
        </w:rPr>
        <w:t xml:space="preserve">Geeignet, wenn: </w:t>
      </w:r>
      <w:r>
        <w:rPr>
          <w:rFonts w:ascii="Calibri" w:hAnsi="Calibri"/>
          <w:b w:val="0"/>
          <w:color w:val="1F2A2A"/>
          <w:sz w:val="20"/>
        </w:rPr>
        <w:t>Nicht personenbezogene Optionen und offene Fragen strukturieren.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KI entscheidet nie über Personal, Leistung oder Konsequenzen.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05 · Handwerk und Dokumentation</w:t>
      </w:r>
    </w:p>
    <w:p>
      <w:pPr>
        <w:pStyle w:val="MHCompact"/>
      </w:pPr>
      <w:r>
        <w:rPr>
          <w:rFonts w:ascii="Calibri" w:hAnsi="Calibri"/>
          <w:b/>
          <w:color w:val="163F9E"/>
          <w:sz w:val="20"/>
        </w:rPr>
        <w:t xml:space="preserve">Geeignet, wenn: </w:t>
      </w:r>
      <w:r>
        <w:rPr>
          <w:rFonts w:ascii="Calibri" w:hAnsi="Calibri"/>
          <w:b w:val="0"/>
          <w:color w:val="1F2A2A"/>
          <w:sz w:val="20"/>
        </w:rPr>
        <w:t>Synthetische Baustellennotizen in einen prüfbaren Dokumentationsentwurf überführen.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sicherheitskritische Freigabe, Diagnose oder Arbeitsanweisung.</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06 · Dienstleistung und Kundenanfragen</w:t>
      </w:r>
    </w:p>
    <w:p>
      <w:pPr>
        <w:pStyle w:val="MHCompact"/>
      </w:pPr>
      <w:r>
        <w:rPr>
          <w:rFonts w:ascii="Calibri" w:hAnsi="Calibri"/>
          <w:b/>
          <w:color w:val="163F9E"/>
          <w:sz w:val="20"/>
        </w:rPr>
        <w:t xml:space="preserve">Geeignet, wenn: </w:t>
      </w:r>
      <w:r>
        <w:rPr>
          <w:rFonts w:ascii="Calibri" w:hAnsi="Calibri"/>
          <w:b w:val="0"/>
          <w:color w:val="1F2A2A"/>
          <w:sz w:val="20"/>
        </w:rPr>
        <w:t>Eine unklare synthetische Anfrage in Rückfragen und nächsten Schritt übersetzen.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realen Kunden-, Gesundheits-, Vertrags- oder Zugangsdaten.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Einheitlicher Technik-Fallback</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val="0"/>
                <w:color w:val="1F2A2A"/>
                <w:sz w:val="21"/>
              </w:rPr>
              <w:t>Wenn Werkzeug, Konto, Verbindung oder Freigabe unklar ist: keine Live-Eingabe. Direkt mit vorbereiteter Offline-Ausgabe, Prüfroutine und Verbesserungsauftrag weiterarbeiten.</w:t>
            </w:r>
          </w:p>
        </w:tc>
      </w:tr>
    </w:tbl>
    <w:p>
      <w:pPr>
        <w:spacing w:after="40"/>
      </w:pPr>
    </w:p>
    <w:p>
      <w:pPr>
        <w:pStyle w:val="Heading1"/>
        <w:pageBreakBefore/>
      </w:pPr>
      <w:r>
        <w:t>Nachdokumentation – direkt nach der Schulung</w:t>
      </w:r>
    </w:p>
    <w:p>
      <w:pPr>
        <w:pStyle w:val="MHCompact"/>
      </w:pPr>
      <w:r>
        <w:rPr>
          <w:rFonts w:ascii="Calibri" w:hAnsi="Calibri"/>
          <w:b w:val="0"/>
          <w:color w:val="1F2A2A"/>
          <w:sz w:val="20"/>
        </w:rPr>
        <w:t>Diese eine Seite vollständig bearbeiten und in der vereinbarten Kundenablage dokumentieren.</w:t>
      </w:r>
    </w:p>
    <w:p>
      <w:pPr>
        <w:pStyle w:val="MHChecklist"/>
        <w:numPr>
          <w:ilvl w:val="0"/>
          <w:numId w:val="18"/>
        </w:numPr>
      </w:pPr>
      <w:r>
        <w:rPr>
          <w:rFonts w:ascii="Calibri" w:hAnsi="Calibri"/>
          <w:b w:val="0"/>
          <w:color w:val="1F2A2A"/>
          <w:sz w:val="19"/>
        </w:rPr>
        <w:t>Datum, Uhrzeit, Kunde, Format, Trainer und tatsächliche Dauer dokumentiert.</w:t>
      </w:r>
    </w:p>
    <w:p>
      <w:pPr>
        <w:pStyle w:val="MHChecklist"/>
        <w:numPr>
          <w:ilvl w:val="0"/>
          <w:numId w:val="18"/>
        </w:numPr>
      </w:pPr>
      <w:r>
        <w:rPr>
          <w:rFonts w:ascii="Calibri" w:hAnsi="Calibri"/>
          <w:b w:val="0"/>
          <w:color w:val="1F2A2A"/>
          <w:sz w:val="19"/>
        </w:rPr>
        <w:t>Teilnehmendenzahl und verwendete Agenda festgehalten; Teilnahmeliste getrennt geschützt abgelegt.</w:t>
      </w:r>
    </w:p>
    <w:p>
      <w:pPr>
        <w:pStyle w:val="MHChecklist"/>
        <w:numPr>
          <w:ilvl w:val="0"/>
          <w:numId w:val="18"/>
        </w:numPr>
      </w:pPr>
      <w:r>
        <w:rPr>
          <w:rFonts w:ascii="Calibri" w:hAnsi="Calibri"/>
          <w:b w:val="0"/>
          <w:color w:val="1F2A2A"/>
          <w:sz w:val="19"/>
        </w:rPr>
        <w:t>Verwendeter Praxisfall und Stufe (Basis/Fortgeschritten) notiert.</w:t>
      </w:r>
    </w:p>
    <w:p>
      <w:pPr>
        <w:pStyle w:val="MHChecklist"/>
        <w:numPr>
          <w:ilvl w:val="0"/>
          <w:numId w:val="18"/>
        </w:numPr>
      </w:pPr>
      <w:r>
        <w:rPr>
          <w:rFonts w:ascii="Calibri" w:hAnsi="Calibri"/>
          <w:b w:val="0"/>
          <w:color w:val="1F2A2A"/>
          <w:sz w:val="19"/>
        </w:rPr>
        <w:t>Verwendetes Werkzeug/Konto oder Offline-Durchführung dokumentiert.</w:t>
      </w:r>
    </w:p>
    <w:p>
      <w:pPr>
        <w:pStyle w:val="MHChecklist"/>
        <w:numPr>
          <w:ilvl w:val="0"/>
          <w:numId w:val="18"/>
        </w:numPr>
      </w:pPr>
      <w:r>
        <w:rPr>
          <w:rFonts w:ascii="Calibri" w:hAnsi="Calibri"/>
          <w:b w:val="0"/>
          <w:color w:val="1F2A2A"/>
          <w:sz w:val="19"/>
        </w:rPr>
        <w:t>Bestätigt: Es wurden nur synthetische oder zulässig anonymisierte Übungsdaten verwendet.</w:t>
      </w:r>
    </w:p>
    <w:p>
      <w:pPr>
        <w:pStyle w:val="MHChecklist"/>
        <w:numPr>
          <w:ilvl w:val="0"/>
          <w:numId w:val="18"/>
        </w:numPr>
      </w:pPr>
      <w:r>
        <w:rPr>
          <w:rFonts w:ascii="Calibri" w:hAnsi="Calibri"/>
          <w:b w:val="0"/>
          <w:color w:val="1F2A2A"/>
          <w:sz w:val="19"/>
        </w:rPr>
        <w:t>Abweichungen, Safety Stops und ungeklärte Daten-/Toolfragen ohne sensible Inhalte beschrieben.</w:t>
      </w:r>
    </w:p>
    <w:p>
      <w:pPr>
        <w:pStyle w:val="MHChecklist"/>
        <w:numPr>
          <w:ilvl w:val="0"/>
          <w:numId w:val="18"/>
        </w:numPr>
      </w:pPr>
      <w:r>
        <w:rPr>
          <w:rFonts w:ascii="Calibri" w:hAnsi="Calibri"/>
          <w:b w:val="0"/>
          <w:color w:val="1F2A2A"/>
          <w:sz w:val="19"/>
        </w:rPr>
        <w:t>Genannte interne Rollen für Fachprüfung, Toolfreigabe, Datenschutz, Sicherheit und Eskalation notiert.</w:t>
      </w:r>
    </w:p>
    <w:p>
      <w:pPr>
        <w:pStyle w:val="MHChecklist"/>
        <w:numPr>
          <w:ilvl w:val="0"/>
          <w:numId w:val="18"/>
        </w:numPr>
      </w:pPr>
      <w:r>
        <w:rPr>
          <w:rFonts w:ascii="Calibri" w:hAnsi="Calibri"/>
          <w:b w:val="0"/>
          <w:color w:val="1F2A2A"/>
          <w:sz w:val="19"/>
        </w:rPr>
        <w:t>Lerncheck durchgeführt; häufige Missverständnisse und geklärte Punkte zusammengefasst.</w:t>
      </w:r>
    </w:p>
    <w:p>
      <w:pPr>
        <w:pStyle w:val="MHChecklist"/>
        <w:numPr>
          <w:ilvl w:val="0"/>
          <w:numId w:val="18"/>
        </w:numPr>
      </w:pPr>
      <w:r>
        <w:rPr>
          <w:rFonts w:ascii="Calibri" w:hAnsi="Calibri"/>
          <w:b w:val="0"/>
          <w:color w:val="1F2A2A"/>
          <w:sz w:val="19"/>
        </w:rPr>
        <w:t>Offene Fragen mit Verantwortlichem und Zieltermin in den Nachgang überführt.</w:t>
      </w:r>
    </w:p>
    <w:p>
      <w:pPr>
        <w:pStyle w:val="MHChecklist"/>
        <w:numPr>
          <w:ilvl w:val="0"/>
          <w:numId w:val="18"/>
        </w:numPr>
      </w:pPr>
      <w:r>
        <w:rPr>
          <w:rFonts w:ascii="Calibri" w:hAnsi="Calibri"/>
          <w:b w:val="0"/>
          <w:color w:val="1F2A2A"/>
          <w:sz w:val="19"/>
        </w:rPr>
        <w:t>Teilnehmerunterlagen übergeben; Trainerunterlagen und Antwortmaterial nicht versehentlich verteilt.</w:t>
      </w:r>
    </w:p>
    <w:p>
      <w:pPr>
        <w:pStyle w:val="MHChecklist"/>
        <w:numPr>
          <w:ilvl w:val="0"/>
          <w:numId w:val="18"/>
        </w:numPr>
      </w:pPr>
      <w:r>
        <w:rPr>
          <w:rFonts w:ascii="Calibri" w:hAnsi="Calibri"/>
          <w:b w:val="0"/>
          <w:color w:val="1F2A2A"/>
          <w:sz w:val="19"/>
        </w:rPr>
        <w:t>Management-Follow-up innerhalb des vereinbarten Rahmens terminiert.</w:t>
      </w:r>
    </w:p>
    <w:p>
      <w:pPr>
        <w:pStyle w:val="MHChecklist"/>
        <w:numPr>
          <w:ilvl w:val="0"/>
          <w:numId w:val="18"/>
        </w:numPr>
      </w:pPr>
      <w:r>
        <w:rPr>
          <w:rFonts w:ascii="Calibri" w:hAnsi="Calibri"/>
          <w:b w:val="0"/>
          <w:color w:val="1F2A2A"/>
          <w:sz w:val="19"/>
        </w:rPr>
        <w:t>Keine Aussage als Rechts-, Datenschutz-, Sicherheits-, Tool- oder Compliance-Freigabe dokumentiert.</w:t>
      </w:r>
    </w:p>
    <w:p>
      <w:pPr>
        <w:pStyle w:val="MHChecklist"/>
        <w:numPr>
          <w:ilvl w:val="0"/>
          <w:numId w:val="18"/>
        </w:numPr>
      </w:pPr>
      <w:r>
        <w:rPr>
          <w:rFonts w:ascii="Calibri" w:hAnsi="Calibri"/>
          <w:b w:val="0"/>
          <w:color w:val="1F2A2A"/>
          <w:sz w:val="19"/>
        </w:rPr>
        <w:t>Ablage, Zugriff und Aufbewahrung nach Kundenprozess bestätigt.</w:t>
      </w:r>
    </w:p>
    <w:p>
      <w:pPr>
        <w:pStyle w:val="MHCompact"/>
      </w:pPr>
      <w:r>
        <w:rPr>
          <w:rFonts w:ascii="Calibri" w:hAnsi="Calibri"/>
          <w:b/>
          <w:color w:val="163F9E"/>
          <w:sz w:val="20"/>
        </w:rPr>
        <w:t xml:space="preserve">Abweichung / offener Nachgang: </w:t>
      </w:r>
      <w:r>
        <w:rPr>
          <w:rFonts w:ascii="Calibri" w:hAnsi="Calibri"/>
          <w:b w:val="0"/>
          <w:color w:val="1F2A2A"/>
          <w:sz w:val="20"/>
        </w:rPr>
        <w:t>____________________________________________________________</w:t>
      </w:r>
    </w:p>
    <w:p>
      <w:pPr>
        <w:pStyle w:val="MHCompact"/>
      </w:pPr>
      <w:r>
        <w:rPr>
          <w:rFonts w:ascii="Calibri" w:hAnsi="Calibri"/>
          <w:b/>
          <w:color w:val="163F9E"/>
          <w:sz w:val="20"/>
        </w:rPr>
        <w:t xml:space="preserve">Verantwortlich / Termin: </w:t>
      </w:r>
      <w:r>
        <w:rPr>
          <w:rFonts w:ascii="Calibri" w:hAnsi="Calibri"/>
          <w:b w:val="0"/>
          <w:color w:val="1F2A2A"/>
          <w:sz w:val="20"/>
        </w:rPr>
        <w:t>____________________________________________________________</w:t>
      </w:r>
    </w:p>
    <w:p>
      <w:pPr>
        <w:pStyle w:val="MHCompact"/>
      </w:pPr>
      <w:r>
        <w:rPr>
          <w:rFonts w:ascii="Calibri" w:hAnsi="Calibri"/>
          <w:b/>
          <w:color w:val="163F9E"/>
          <w:sz w:val="20"/>
        </w:rPr>
        <w:t xml:space="preserve">Trainerkürzel: </w:t>
      </w:r>
      <w:r>
        <w:rPr>
          <w:rFonts w:ascii="Calibri" w:hAnsi="Calibri"/>
          <w:b w:val="0"/>
          <w:color w:val="1F2A2A"/>
          <w:sz w:val="20"/>
        </w:rPr>
        <w:t>________________________</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A5E55"/>
        <w:sz w:val="17"/>
      </w:rPr>
      <w:t xml:space="preserve">MyHiwi AI-Startklar  ·  </w:t>
    </w:r>
    <w:r>
      <w:rPr>
        <w:rFonts w:ascii="Calibri" w:hAnsi="Calibri"/>
        <w:color w:val="5A5E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5E55"/>
        <w:sz w:val="16"/>
      </w:rPr>
      <w:t>MYHIWI  /  AI-STARTKLAR  /  TRAINERLEITFADEN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Calibri" w:hAnsi="Calibri"/>
      </w:rPr>
    </w:lvl>
  </w:abstractNum>
  <w:abstractNum w:abstractNumId="10">
    <w:multiLevelType w:val="singleLevel"/>
    <w:lvl w:ilvl="0">
      <w:start w:val="1"/>
      <w:numFmt w:val="decimal"/>
      <w:lvlText w:val="%1."/>
      <w:suff w:val="tab"/>
      <w:pPr>
        <w:tabs>
          <w:tab w:val="num" w:pos="540"/>
        </w:tabs>
        <w:ind w:left="540" w:hanging="270"/>
      </w:pPr>
    </w:lvl>
  </w:abstractNum>
  <w:abstractNum w:abstractNumId="11">
    <w:multiLevelType w:val="singleLevel"/>
    <w:lvl w:ilvl="0">
      <w:start w:val="1"/>
      <w:numFmt w:val="bullet"/>
      <w:lvlText w:val="☐"/>
      <w:suff w:val="tab"/>
      <w:pPr>
        <w:tabs>
          <w:tab w:val="num" w:pos="540"/>
        </w:tabs>
        <w:ind w:left="540" w:hanging="270"/>
      </w:pPr>
      <w:rPr>
        <w:rFonts w:ascii="DejaVu Sans" w:hAnsi="DejaVu Sans"/>
      </w:rPr>
    </w:lvl>
  </w:abstractNum>
  <w:num w:numId="10">
    <w:abstractNumId w:val="11"/>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FC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FC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63F9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F2A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Compact">
    <w:name w:val="MH Compact"/>
    <w:pPr>
      <w:spacing w:before="0" w:after="60" w:line="259" w:lineRule="auto"/>
    </w:pPr>
    <w:rPr>
      <w:rFonts w:ascii="Calibri" w:hAnsi="Calibri"/>
      <w:color w:val="1F2A2A"/>
      <w:sz w:val="20"/>
    </w:rPr>
  </w:style>
  <w:style w:type="paragraph" w:customStyle="1" w:styleId="MHChecklist">
    <w:name w:val="MH Checklist"/>
    <w:pPr>
      <w:spacing w:before="0" w:after="60" w:line="259" w:lineRule="auto"/>
    </w:pPr>
    <w:rPr>
      <w:rFonts w:ascii="Calibri" w:hAnsi="Calibri"/>
      <w:color w:val="1F2A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MyHiwi AI-Startklar – Trainerleitfaden</dc:title>
  <dc:subject>MyHiwi AI-Startklar</dc:subject>
  <dc:creator>MyHiwi</dc:creator>
  <cp:keywords/>
  <dc:description>generated by python-docx</dc:description>
  <cp:lastModifiedBy/>
  <cp:revision>1</cp:revision>
  <dcterms:created xsi:type="dcterms:W3CDTF">2013-12-23T23:15:00Z</dcterms:created>
  <dcterms:modified xsi:type="dcterms:W3CDTF">2013-12-23T23:15:00Z</dcterms:modified>
  <cp:category/>
</cp:coreProperties>
</file>