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 w:eastAsia="Arial"/>
          <w:b/>
          <w:i w:val="0"/>
          <w:color w:val="2563EB"/>
          <w:sz w:val="17"/>
        </w:rPr>
        <w:t>PRODUKT-ONE-PAGER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0F172A"/>
          <w:sz w:val="48"/>
        </w:rPr>
        <w:t>MyHiwi AI-Startklar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475569"/>
          <w:sz w:val="23"/>
        </w:rPr>
        <w:t>Die praxisnahe KI-Grundlagenschulung für Unternehmen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100"/>
        <w:gridCol w:w="2700"/>
        <w:gridCol w:w="4560"/>
      </w:tblGrid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1.0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22. Juli 2026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FORMAT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Produkt-One-Pager</w:t>
            </w:r>
          </w:p>
        </w:tc>
      </w:tr>
    </w:tbl>
    <w:p>
      <w:pPr>
        <w:spacing w:after="0"/>
      </w:pPr>
    </w:p>
    <w:p>
      <w:pPr>
        <w:spacing w:before="20" w:after="100"/>
      </w:pPr>
      <w:r>
        <w:rPr>
          <w:rFonts w:ascii="Arial" w:hAnsi="Arial" w:eastAsia="Arial"/>
          <w:b/>
          <w:i w:val="0"/>
          <w:color w:val="2563EB"/>
          <w:sz w:val="25"/>
        </w:rPr>
        <w:t>KI sinnvoll nutzen. Risiken erkennen. Sicherer entscheiden.</w:t>
      </w:r>
    </w:p>
    <w:p>
      <w:pPr>
        <w:pStyle w:val="Heading2"/>
        <w:spacing w:before="40" w:after="60"/>
      </w:pPr>
      <w:r>
        <w:rPr>
          <w:rFonts w:ascii="Arial" w:hAnsi="Arial" w:eastAsia="Arial"/>
          <w:b/>
          <w:i w:val="0"/>
          <w:color w:val="0F172A"/>
          <w:sz w:val="21"/>
        </w:rPr>
        <w:t>Für wen und wann?</w:t>
      </w:r>
    </w:p>
    <w:p>
      <w:pPr>
        <w:spacing w:after="40" w:line="245" w:lineRule="auto"/>
      </w:pPr>
      <w:r>
        <w:rPr>
          <w:rFonts w:ascii="Arial" w:hAnsi="Arial" w:eastAsia="Arial"/>
          <w:b w:val="0"/>
          <w:i w:val="0"/>
          <w:color w:val="0F172A"/>
          <w:sz w:val="16"/>
        </w:rPr>
        <w:t>Für inhabergeführte kleine und mittlere Unternehmen mit ungefähr 5 bis 50 Mitarbeitenden, die generative KI bereits ungeordnet einsetzen oder einen kontrollierten Einstieg planen.</w:t>
      </w:r>
    </w:p>
    <w:p>
      <w:pPr>
        <w:spacing w:after="60" w:line="245" w:lineRule="auto"/>
      </w:pPr>
      <w:r>
        <w:rPr>
          <w:rFonts w:ascii="Arial" w:hAnsi="Arial" w:eastAsia="Arial"/>
          <w:b w:val="0"/>
          <w:i w:val="0"/>
          <w:color w:val="475569"/>
          <w:sz w:val="16"/>
        </w:rPr>
        <w:t>Typische Auslöser: eigenständige Toolnutzung, fehlende gemeinsame Regeln, Unsicherheit bei Daten und Ergebnisqualität, unterschiedliche Vorkenntnisse oder der Wunsch nach einer dokumentierbaren Arbeitsweise.</w:t>
      </w:r>
    </w:p>
    <w:p>
      <w:pPr>
        <w:pStyle w:val="Heading2"/>
        <w:spacing w:before="40" w:after="40"/>
      </w:pPr>
      <w:r>
        <w:rPr>
          <w:rFonts w:ascii="Arial" w:hAnsi="Arial" w:eastAsia="Arial"/>
          <w:b/>
          <w:i w:val="0"/>
          <w:color w:val="0F172A"/>
          <w:sz w:val="21"/>
        </w:rPr>
        <w:t>Das können Teilnehmende danach</w:t>
      </w:r>
    </w:p>
    <w:p>
      <w:pPr>
        <w:numPr>
          <w:ilvl w:val="0"/>
          <w:numId w:val="10"/>
        </w:numPr>
        <w:spacing w:after="10" w:line="230" w:lineRule="auto"/>
      </w:pPr>
      <w:r>
        <w:rPr>
          <w:rFonts w:ascii="Arial" w:hAnsi="Arial" w:eastAsia="Arial"/>
          <w:b w:val="0"/>
          <w:i w:val="0"/>
          <w:color w:val="0F172A"/>
          <w:sz w:val="16"/>
        </w:rPr>
        <w:t>geeignete und ungeeignete KI-Anwendungsfälle unterscheiden</w:t>
      </w:r>
    </w:p>
    <w:p>
      <w:pPr>
        <w:numPr>
          <w:ilvl w:val="0"/>
          <w:numId w:val="10"/>
        </w:numPr>
        <w:spacing w:after="10" w:line="230" w:lineRule="auto"/>
      </w:pPr>
      <w:r>
        <w:rPr>
          <w:rFonts w:ascii="Arial" w:hAnsi="Arial" w:eastAsia="Arial"/>
          <w:b w:val="0"/>
          <w:i w:val="0"/>
          <w:color w:val="0F172A"/>
          <w:sz w:val="16"/>
        </w:rPr>
        <w:t>Aufgaben mit einer klaren Promptstruktur formulieren</w:t>
      </w:r>
    </w:p>
    <w:p>
      <w:pPr>
        <w:numPr>
          <w:ilvl w:val="0"/>
          <w:numId w:val="10"/>
        </w:numPr>
        <w:spacing w:after="10" w:line="230" w:lineRule="auto"/>
      </w:pPr>
      <w:r>
        <w:rPr>
          <w:rFonts w:ascii="Arial" w:hAnsi="Arial" w:eastAsia="Arial"/>
          <w:b w:val="0"/>
          <w:i w:val="0"/>
          <w:color w:val="0F172A"/>
          <w:sz w:val="16"/>
        </w:rPr>
        <w:t>Informationen mit einer einfachen Datenampel einordnen</w:t>
      </w:r>
    </w:p>
    <w:p>
      <w:pPr>
        <w:numPr>
          <w:ilvl w:val="0"/>
          <w:numId w:val="10"/>
        </w:numPr>
        <w:spacing w:after="10" w:line="230" w:lineRule="auto"/>
      </w:pPr>
      <w:r>
        <w:rPr>
          <w:rFonts w:ascii="Arial" w:hAnsi="Arial" w:eastAsia="Arial"/>
          <w:b w:val="0"/>
          <w:i w:val="0"/>
          <w:color w:val="0F172A"/>
          <w:sz w:val="16"/>
        </w:rPr>
        <w:t>typische Fehler und Grenzen generativer KI erkennen</w:t>
      </w:r>
    </w:p>
    <w:p>
      <w:pPr>
        <w:numPr>
          <w:ilvl w:val="0"/>
          <w:numId w:val="10"/>
        </w:numPr>
        <w:spacing w:after="10" w:line="230" w:lineRule="auto"/>
      </w:pPr>
      <w:r>
        <w:rPr>
          <w:rFonts w:ascii="Arial" w:hAnsi="Arial" w:eastAsia="Arial"/>
          <w:b w:val="0"/>
          <w:i w:val="0"/>
          <w:color w:val="0F172A"/>
          <w:sz w:val="16"/>
        </w:rPr>
        <w:t>KI-Ausgaben mit einer festen Prüfroutine kontrollieren</w:t>
      </w:r>
    </w:p>
    <w:p>
      <w:pPr>
        <w:numPr>
          <w:ilvl w:val="0"/>
          <w:numId w:val="10"/>
        </w:numPr>
        <w:spacing w:after="10" w:line="230" w:lineRule="auto"/>
      </w:pPr>
      <w:r>
        <w:rPr>
          <w:rFonts w:ascii="Arial" w:hAnsi="Arial" w:eastAsia="Arial"/>
          <w:b w:val="0"/>
          <w:i w:val="0"/>
          <w:color w:val="0F172A"/>
          <w:sz w:val="16"/>
        </w:rPr>
        <w:t>fünf grundlegende betriebliche Nutzungsregeln anwenden</w:t>
      </w:r>
    </w:p>
    <w:p>
      <w:pPr>
        <w:numPr>
          <w:ilvl w:val="0"/>
          <w:numId w:val="10"/>
        </w:numPr>
        <w:spacing w:after="10" w:line="230" w:lineRule="auto"/>
      </w:pPr>
      <w:r>
        <w:rPr>
          <w:rFonts w:ascii="Arial" w:hAnsi="Arial" w:eastAsia="Arial"/>
          <w:b w:val="0"/>
          <w:i w:val="0"/>
          <w:color w:val="0F172A"/>
          <w:sz w:val="16"/>
        </w:rPr>
        <w:t>bei Unsicherheit die richtige interne Eskalation auslösen</w:t>
      </w:r>
    </w:p>
    <w:p>
      <w:pPr>
        <w:pStyle w:val="Heading2"/>
        <w:spacing w:before="40" w:after="40"/>
      </w:pPr>
      <w:r>
        <w:rPr>
          <w:rFonts w:ascii="Arial" w:hAnsi="Arial" w:eastAsia="Arial"/>
          <w:b/>
          <w:i w:val="0"/>
          <w:color w:val="0F172A"/>
          <w:sz w:val="21"/>
        </w:rPr>
        <w:t>Das Standardpaket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30 Min. digitales Management-Vorgespräch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Branchen-, Rollen-, Kenntnis- und KI-Nutzungscheck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genehmigtes Schulungswerkzeug oder Trainer-Demoszenario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zwei anonymisierte oder synthetische Praxisbeispiele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3 Std. Live-Schulung für maximal 15 Personen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Trainerfolien und moderierte Übungen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Teilnehmerunterlagen, Promptvorlage und Datenampel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Checkliste zur Prüfung von KI-Ausgaben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kompakte einseitige KI-Nutzungsregel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zehnteiliger Lerncheck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Teilnahmeliste und persönliche Teilnahmebestätigungen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Dokumentationsblatt zu Inhalt, Datum, Zielgruppe und Werkzeug</w:t>
      </w:r>
    </w:p>
    <w:p>
      <w:pPr>
        <w:numPr>
          <w:ilvl w:val="0"/>
          <w:numId w:val="11"/>
        </w:numPr>
        <w:spacing w:after="4" w:line="223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30 Min. Management-Nachbesprechung</w:t>
      </w:r>
    </w:p>
    <w:p>
      <w:pPr>
        <w:pStyle w:val="Heading2"/>
        <w:spacing w:before="40" w:after="40"/>
      </w:pPr>
      <w:r>
        <w:rPr>
          <w:rFonts w:ascii="Arial" w:hAnsi="Arial" w:eastAsia="Arial"/>
          <w:b/>
          <w:i w:val="0"/>
          <w:color w:val="0F172A"/>
          <w:sz w:val="21"/>
        </w:rPr>
        <w:t>Preis</w:t>
      </w:r>
    </w:p>
    <w:p>
      <w:pPr>
        <w:spacing w:after="20" w:line="240" w:lineRule="auto"/>
      </w:pPr>
      <w:r>
        <w:rPr>
          <w:rFonts w:ascii="Arial" w:hAnsi="Arial" w:eastAsia="Arial"/>
          <w:b/>
          <w:i w:val="0"/>
          <w:color w:val="2563EB"/>
          <w:sz w:val="17"/>
        </w:rPr>
        <w:t>ONLINE  1.490 € netto  ·  VOR ORT  1.790 € netto  ·  jeweils bis 15 Personen</w:t>
      </w:r>
    </w:p>
    <w:p>
      <w:pPr>
        <w:spacing w:after="40" w:line="240" w:lineRule="auto"/>
      </w:pPr>
      <w:r>
        <w:rPr>
          <w:rFonts w:ascii="Arial" w:hAnsi="Arial" w:eastAsia="Arial"/>
          <w:b w:val="0"/>
          <w:i w:val="0"/>
          <w:color w:val="475569"/>
          <w:sz w:val="15"/>
        </w:rPr>
        <w:t>Reise- und gegebenenfalls Übernachtungsaufwand wird vor Beauftragung separat ausgewiesen.</w:t>
      </w:r>
    </w:p>
    <w:p>
      <w:pPr>
        <w:pStyle w:val="Heading2"/>
        <w:spacing w:before="20" w:after="40"/>
      </w:pPr>
      <w:r>
        <w:rPr>
          <w:rFonts w:ascii="Arial" w:hAnsi="Arial" w:eastAsia="Arial"/>
          <w:b/>
          <w:i w:val="0"/>
          <w:color w:val="0F172A"/>
          <w:sz w:val="21"/>
        </w:rPr>
        <w:t>Klare Produktgrenzen</w:t>
      </w:r>
    </w:p>
    <w:p>
      <w:pPr>
        <w:spacing w:after="40" w:line="240" w:lineRule="auto"/>
      </w:pPr>
      <w:r>
        <w:rPr>
          <w:rFonts w:ascii="Arial" w:hAnsi="Arial" w:eastAsia="Arial"/>
          <w:b w:val="0"/>
          <w:i w:val="0"/>
          <w:color w:val="0F172A"/>
          <w:sz w:val="15"/>
        </w:rPr>
        <w:t>Keine Rechtsberatung · keine Datenschutz-Folgenabschätzung · kein Informationssicherheitsaudit · keine Prüfung oder Freigabe konkreter KI-Anbieter · keine Garantie eines bestimmten individuellen Kompetenzniveaus · keine Zertifizierung der Organisation · kein Nachweis einer vollständigen AI-Act- oder DSGVO-Konformität.</w:t>
      </w:r>
    </w:p>
    <w:p>
      <w:pPr>
        <w:spacing w:after="60" w:line="240" w:lineRule="auto"/>
      </w:pPr>
      <w:r>
        <w:rPr>
          <w:rFonts w:ascii="Arial" w:hAnsi="Arial" w:eastAsia="Arial"/>
          <w:b w:val="0"/>
          <w:i w:val="0"/>
          <w:color w:val="475569"/>
          <w:sz w:val="15"/>
        </w:rPr>
        <w:t>Die Schulung unterstützt den strukturierten und dokumentierbaren KI-Kompetenzaufbau; die Angemessenheit hängt vom konkreten Einsatzkontext ab.</w:t>
      </w:r>
    </w:p>
    <w:p>
      <w:pPr>
        <w:spacing w:before="20" w:after="0"/>
        <w:jc w:val="center"/>
      </w:pPr>
      <w:r>
        <w:rPr>
          <w:rFonts w:ascii="Arial" w:hAnsi="Arial" w:eastAsia="Arial"/>
          <w:b/>
          <w:i w:val="0"/>
          <w:color w:val="2563EB"/>
          <w:sz w:val="19"/>
        </w:rPr>
        <w:t>UNVERBINDLICHES ERSTGESPRÄCH ANFRAGEN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Arial" w:hAnsi="Arial" w:eastAsia="Arial"/>
        <w:b/>
        <w:i w:val="0"/>
        <w:color w:val="2563EB"/>
        <w:sz w:val="16"/>
      </w:rPr>
      <w:t>MYHIWI / AI-STARTKLAR</w:t>
    </w:r>
    <w:r>
      <w:rPr>
        <w:rFonts w:ascii="Arial" w:hAnsi="Arial" w:eastAsia="Arial"/>
        <w:b/>
        <w:i w:val="0"/>
        <w:color w:val="475569"/>
        <w:sz w:val="16"/>
      </w:rPr>
      <w:tab/>
      <w:t>PRODUKT-ONE-PAGER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</dc:title>
  <dc:subject>Produkt-One-Pager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